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762818"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32A6306F" w:rsidR="00957E5C" w:rsidRDefault="00113DA7" w:rsidP="639096C3">
            <w:pPr>
              <w:rPr>
                <w:rFonts w:ascii="Arial" w:hAnsi="Arial" w:cs="Arial"/>
                <w:sz w:val="24"/>
                <w:szCs w:val="24"/>
                <w:lang w:eastAsia="en-GB"/>
              </w:rPr>
            </w:pPr>
            <w:r>
              <w:rPr>
                <w:rFonts w:ascii="Arial" w:hAnsi="Arial" w:cs="Arial"/>
                <w:sz w:val="24"/>
                <w:szCs w:val="24"/>
                <w:lang w:eastAsia="en-GB"/>
              </w:rPr>
              <w:t xml:space="preserve">NTTF - </w:t>
            </w:r>
            <w:r w:rsidR="00236748">
              <w:rPr>
                <w:rFonts w:ascii="Arial" w:hAnsi="Arial" w:cs="Arial"/>
                <w:sz w:val="24"/>
                <w:szCs w:val="24"/>
                <w:lang w:eastAsia="en-GB"/>
              </w:rPr>
              <w:t xml:space="preserve"> </w:t>
            </w:r>
            <w:r w:rsidR="00250843">
              <w:rPr>
                <w:rFonts w:ascii="Arial" w:hAnsi="Arial" w:cs="Arial"/>
                <w:sz w:val="24"/>
                <w:szCs w:val="24"/>
                <w:lang w:eastAsia="en-GB"/>
              </w:rPr>
              <w:t>Digital Skills Pipeline</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3568B022" w:rsidR="00957E5C" w:rsidRDefault="00236748" w:rsidP="639096C3">
            <w:pPr>
              <w:rPr>
                <w:rFonts w:ascii="Arial" w:hAnsi="Arial" w:cs="Arial"/>
                <w:sz w:val="24"/>
                <w:szCs w:val="24"/>
                <w:lang w:eastAsia="en-GB"/>
              </w:rPr>
            </w:pPr>
            <w:r>
              <w:rPr>
                <w:rFonts w:ascii="Arial" w:hAnsi="Arial" w:cs="Arial"/>
                <w:sz w:val="24"/>
                <w:szCs w:val="24"/>
                <w:lang w:eastAsia="en-GB"/>
              </w:rPr>
              <w:t>Chris Brodie – Director</w:t>
            </w:r>
            <w:r w:rsidR="004C1DD7">
              <w:rPr>
                <w:rFonts w:ascii="Arial" w:hAnsi="Arial" w:cs="Arial"/>
                <w:sz w:val="24"/>
                <w:szCs w:val="24"/>
                <w:lang w:eastAsia="en-GB"/>
              </w:rPr>
              <w:t xml:space="preserve"> of Regional Skills Planning and Sector </w:t>
            </w:r>
            <w:r w:rsidR="00250843">
              <w:rPr>
                <w:rFonts w:ascii="Arial" w:hAnsi="Arial" w:cs="Arial"/>
                <w:sz w:val="24"/>
                <w:szCs w:val="24"/>
                <w:lang w:eastAsia="en-GB"/>
              </w:rPr>
              <w:t>Development</w:t>
            </w:r>
            <w:r>
              <w:rPr>
                <w:rFonts w:ascii="Arial" w:hAnsi="Arial" w:cs="Arial"/>
                <w:sz w:val="24"/>
                <w:szCs w:val="24"/>
                <w:lang w:eastAsia="en-GB"/>
              </w:rPr>
              <w:t xml:space="preserve"> </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0E16E71D" w14:textId="77777777" w:rsidR="005D7AFA" w:rsidRDefault="005D7AFA" w:rsidP="00B30303">
            <w:pPr>
              <w:rPr>
                <w:rFonts w:ascii="Arial" w:hAnsi="Arial" w:cs="Arial"/>
                <w:sz w:val="24"/>
                <w:lang w:eastAsia="en-GB"/>
              </w:rPr>
            </w:pPr>
          </w:p>
          <w:p w14:paraId="707BB529" w14:textId="3C89DA43" w:rsidR="005D7AFA" w:rsidRDefault="006960F9" w:rsidP="639096C3">
            <w:pPr>
              <w:rPr>
                <w:rFonts w:ascii="Arial" w:hAnsi="Arial" w:cs="Arial"/>
                <w:sz w:val="24"/>
                <w:szCs w:val="24"/>
                <w:lang w:eastAsia="en-GB"/>
              </w:rPr>
            </w:pPr>
            <w:r>
              <w:rPr>
                <w:rFonts w:ascii="Arial" w:hAnsi="Arial" w:cs="Arial"/>
                <w:sz w:val="24"/>
                <w:szCs w:val="24"/>
                <w:lang w:eastAsia="en-GB"/>
              </w:rPr>
              <w:t>No</w:t>
            </w: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6A68F45E" w:rsidR="00D54622" w:rsidRPr="00D54622" w:rsidRDefault="00DF7526" w:rsidP="008A2FF7">
            <w:pPr>
              <w:spacing w:line="276" w:lineRule="auto"/>
              <w:rPr>
                <w:rFonts w:ascii="Arial" w:hAnsi="Arial" w:cs="Arial"/>
                <w:b/>
                <w:sz w:val="24"/>
                <w:lang w:eastAsia="en-GB"/>
              </w:rPr>
            </w:pPr>
            <w:r>
              <w:rPr>
                <w:rFonts w:ascii="Arial" w:hAnsi="Arial" w:cs="Arial"/>
                <w:b/>
                <w:sz w:val="24"/>
                <w:lang w:eastAsia="en-GB"/>
              </w:rPr>
              <w:t>Head</w:t>
            </w:r>
            <w:r w:rsidR="00D54622" w:rsidRPr="00D54622">
              <w:rPr>
                <w:rFonts w:ascii="Arial" w:hAnsi="Arial" w:cs="Arial"/>
                <w:b/>
                <w:sz w:val="24"/>
                <w:lang w:eastAsia="en-GB"/>
              </w:rPr>
              <w:t xml:space="preserve">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6A8C0B49"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DF7526">
              <w:rPr>
                <w:rFonts w:ascii="Arial" w:hAnsi="Arial" w:cs="Arial"/>
                <w:sz w:val="24"/>
                <w:lang w:eastAsia="en-GB"/>
              </w:rPr>
              <w:t xml:space="preserve"> Phil Ford</w:t>
            </w:r>
          </w:p>
        </w:tc>
        <w:tc>
          <w:tcPr>
            <w:tcW w:w="5101" w:type="dxa"/>
            <w:tcMar>
              <w:left w:w="57" w:type="dxa"/>
              <w:right w:w="57" w:type="dxa"/>
            </w:tcMar>
            <w:vAlign w:val="center"/>
          </w:tcPr>
          <w:p w14:paraId="1DAAE448" w14:textId="06AF5EDC" w:rsidR="00D54622" w:rsidRDefault="00DF7526" w:rsidP="008A2FF7">
            <w:pPr>
              <w:spacing w:line="276" w:lineRule="auto"/>
              <w:rPr>
                <w:rFonts w:ascii="Arial" w:hAnsi="Arial" w:cs="Arial"/>
                <w:sz w:val="24"/>
                <w:lang w:eastAsia="en-GB"/>
              </w:rPr>
            </w:pPr>
            <w:r>
              <w:rPr>
                <w:rFonts w:ascii="Arial" w:hAnsi="Arial" w:cs="Arial"/>
                <w:sz w:val="24"/>
                <w:lang w:eastAsia="en-GB"/>
              </w:rPr>
              <w:t>Digital Technologies and Financial Services</w:t>
            </w:r>
          </w:p>
        </w:tc>
        <w:tc>
          <w:tcPr>
            <w:tcW w:w="2197" w:type="dxa"/>
            <w:tcMar>
              <w:left w:w="57" w:type="dxa"/>
              <w:right w:w="57" w:type="dxa"/>
            </w:tcMar>
            <w:vAlign w:val="center"/>
          </w:tcPr>
          <w:p w14:paraId="40046F74" w14:textId="15771D65" w:rsidR="00D54622" w:rsidRDefault="00DF7526" w:rsidP="008A2FF7">
            <w:pPr>
              <w:spacing w:line="276" w:lineRule="auto"/>
              <w:rPr>
                <w:rFonts w:ascii="Arial" w:hAnsi="Arial" w:cs="Arial"/>
                <w:sz w:val="24"/>
                <w:lang w:eastAsia="en-GB"/>
              </w:rPr>
            </w:pPr>
            <w:r>
              <w:rPr>
                <w:rFonts w:ascii="Arial" w:hAnsi="Arial" w:cs="Arial"/>
                <w:sz w:val="24"/>
                <w:lang w:eastAsia="en-GB"/>
              </w:rPr>
              <w:t>06.10.21</w:t>
            </w:r>
          </w:p>
        </w:tc>
        <w:tc>
          <w:tcPr>
            <w:tcW w:w="2198" w:type="dxa"/>
            <w:tcMar>
              <w:left w:w="57" w:type="dxa"/>
              <w:right w:w="57" w:type="dxa"/>
            </w:tcMar>
            <w:vAlign w:val="center"/>
          </w:tcPr>
          <w:p w14:paraId="0534920E" w14:textId="03A5A908" w:rsidR="00D54622" w:rsidRDefault="00DF7526" w:rsidP="008A2FF7">
            <w:pPr>
              <w:spacing w:line="276" w:lineRule="auto"/>
              <w:rPr>
                <w:rFonts w:ascii="Arial" w:hAnsi="Arial" w:cs="Arial"/>
                <w:sz w:val="24"/>
                <w:lang w:eastAsia="en-GB"/>
              </w:rPr>
            </w:pPr>
            <w:r>
              <w:rPr>
                <w:rFonts w:ascii="Arial" w:hAnsi="Arial" w:cs="Arial"/>
                <w:sz w:val="24"/>
                <w:lang w:eastAsia="en-GB"/>
              </w:rPr>
              <w:t>06.10.21</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103B9455" w14:textId="38E3209E" w:rsidR="00040C9E" w:rsidRPr="00416752" w:rsidRDefault="00D1585A" w:rsidP="00040C9E">
      <w:pPr>
        <w:tabs>
          <w:tab w:val="left" w:pos="142"/>
        </w:tabs>
        <w:ind w:right="187"/>
        <w:rPr>
          <w:rFonts w:ascii="Arial" w:eastAsia="Times" w:hAnsi="Arial" w:cs="Arial"/>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57B37B62" w14:textId="18E1870A" w:rsidR="00432A70" w:rsidRDefault="00432A70" w:rsidP="00F81097">
      <w:pPr>
        <w:tabs>
          <w:tab w:val="left" w:pos="284"/>
        </w:tabs>
        <w:ind w:right="187"/>
        <w:rPr>
          <w:rFonts w:ascii="Arial" w:eastAsia="Times" w:hAnsi="Arial" w:cs="Arial"/>
          <w:sz w:val="24"/>
          <w:szCs w:val="24"/>
        </w:rPr>
      </w:pPr>
    </w:p>
    <w:p w14:paraId="78739911" w14:textId="77777777" w:rsidR="00FA5040" w:rsidRPr="00113DA7" w:rsidRDefault="00A4312A" w:rsidP="00FA5040">
      <w:pPr>
        <w:spacing w:after="160" w:line="259" w:lineRule="auto"/>
        <w:ind w:left="-108"/>
        <w:rPr>
          <w:rFonts w:ascii="Arial" w:hAnsi="Arial" w:cs="Arial"/>
          <w:color w:val="000000" w:themeColor="text1"/>
          <w:sz w:val="24"/>
          <w:szCs w:val="24"/>
        </w:rPr>
      </w:pPr>
      <w:r w:rsidRPr="00113DA7">
        <w:rPr>
          <w:rFonts w:ascii="Arial" w:hAnsi="Arial" w:cs="Arial"/>
          <w:color w:val="000000" w:themeColor="text1"/>
          <w:kern w:val="24"/>
          <w:sz w:val="24"/>
          <w:szCs w:val="24"/>
          <w:lang w:val="en-US"/>
        </w:rPr>
        <w:t xml:space="preserve">Analysis undertaken by the Scottish Government’s Office of the Chief Economic Advisor concluded that the availability of Digital Skills is amongst one of the top priorities in driving inclusive growth in Scotland this was further substantiated in the Digital Scotland Scotland’s Digital Technologies Report. </w:t>
      </w:r>
      <w:r w:rsidR="00FA5040" w:rsidRPr="00113DA7">
        <w:rPr>
          <w:rFonts w:ascii="Arial" w:hAnsi="Arial" w:cs="Arial"/>
          <w:color w:val="000000" w:themeColor="text1"/>
          <w:sz w:val="24"/>
          <w:szCs w:val="24"/>
        </w:rPr>
        <w:t xml:space="preserve">The early economic evidence from the pandemic suggests that the companies who have coped are those who have adopted new digital technologies to create new products, access new markets and increase productivity. There is further evidence that an increasing number of Scottish businesses, supported by SG’s grants are looking to invest in digital capabilities. The emerging data from the latest Digital Economy Business Survey suggests that a lack of digital skills in the workforce is main barrier to accelerating this progress. This chimes with evidence from SDS which suggests that Scottish businesses require 15,000 new digitally skilled people every year just to stand still in terms of vacancy demand. </w:t>
      </w:r>
    </w:p>
    <w:p w14:paraId="05C41D30" w14:textId="77777777" w:rsidR="00FA5040" w:rsidRPr="00113DA7" w:rsidRDefault="00FA5040" w:rsidP="00FA5040">
      <w:pPr>
        <w:spacing w:after="160" w:line="259" w:lineRule="auto"/>
        <w:ind w:left="-109"/>
        <w:rPr>
          <w:rFonts w:ascii="Arial" w:hAnsi="Arial" w:cs="Arial"/>
          <w:color w:val="000000" w:themeColor="text1"/>
          <w:sz w:val="24"/>
          <w:szCs w:val="24"/>
        </w:rPr>
      </w:pPr>
      <w:r w:rsidRPr="00113DA7">
        <w:rPr>
          <w:rFonts w:ascii="Arial" w:hAnsi="Arial" w:cs="Arial"/>
          <w:color w:val="000000" w:themeColor="text1"/>
          <w:sz w:val="24"/>
          <w:szCs w:val="24"/>
        </w:rPr>
        <w:t xml:space="preserve">One of the challenges is that there is a gap in the market for short, modular and tiered courses which support people along a journey from novice to advanced skills. Colleges and universities continue to largely offer multi-year course, unsuitable for people in work focussed on up or reskilling. The private market specialises in more modular provision, but most of this is focussed at the advanced end of the market e.g. </w:t>
      </w:r>
      <w:proofErr w:type="spellStart"/>
      <w:r w:rsidRPr="00113DA7">
        <w:rPr>
          <w:rFonts w:ascii="Arial" w:hAnsi="Arial" w:cs="Arial"/>
          <w:color w:val="000000" w:themeColor="text1"/>
          <w:sz w:val="24"/>
          <w:szCs w:val="24"/>
        </w:rPr>
        <w:t>Codeclan’s</w:t>
      </w:r>
      <w:proofErr w:type="spellEnd"/>
      <w:r w:rsidRPr="00113DA7">
        <w:rPr>
          <w:rFonts w:ascii="Arial" w:hAnsi="Arial" w:cs="Arial"/>
          <w:color w:val="000000" w:themeColor="text1"/>
          <w:sz w:val="24"/>
          <w:szCs w:val="24"/>
        </w:rPr>
        <w:t xml:space="preserve"> advanced programming course. In consequence, there is a pipeline problem whereby providers such as Codeclan struggle to access people with sufficient training to undertake advanced courses, while employers struggle to access providers who can train their staff to an appropriate level of proficiency for their job role (not everyone needs to be an advanced coder). </w:t>
      </w:r>
    </w:p>
    <w:p w14:paraId="4FA05F3A" w14:textId="77777777" w:rsidR="00FA5040" w:rsidRPr="00113DA7" w:rsidRDefault="00FA5040" w:rsidP="00FA5040">
      <w:pPr>
        <w:spacing w:after="160" w:line="259" w:lineRule="auto"/>
        <w:ind w:left="-109"/>
        <w:rPr>
          <w:rFonts w:ascii="Arial" w:hAnsi="Arial" w:cs="Arial"/>
          <w:color w:val="000000" w:themeColor="text1"/>
          <w:sz w:val="24"/>
          <w:szCs w:val="24"/>
        </w:rPr>
      </w:pPr>
      <w:r w:rsidRPr="00113DA7">
        <w:rPr>
          <w:rFonts w:ascii="Arial" w:hAnsi="Arial" w:cs="Arial"/>
          <w:color w:val="000000" w:themeColor="text1"/>
          <w:sz w:val="24"/>
          <w:szCs w:val="24"/>
        </w:rPr>
        <w:t>This scheme would address this problem by stimulating the creation of new, modular courses at four strategic intervention levels:</w:t>
      </w:r>
    </w:p>
    <w:p w14:paraId="56721507" w14:textId="0ED442BF" w:rsidR="00FA5040" w:rsidRPr="00113DA7" w:rsidRDefault="00FA5040" w:rsidP="00FA5040">
      <w:pPr>
        <w:spacing w:after="160" w:line="259" w:lineRule="auto"/>
        <w:ind w:left="-109"/>
        <w:rPr>
          <w:rFonts w:ascii="Arial" w:hAnsi="Arial" w:cs="Arial"/>
          <w:b/>
          <w:color w:val="000000" w:themeColor="text1"/>
          <w:sz w:val="24"/>
          <w:szCs w:val="24"/>
        </w:rPr>
      </w:pPr>
      <w:r w:rsidRPr="00113DA7">
        <w:rPr>
          <w:rFonts w:ascii="Arial" w:hAnsi="Arial" w:cs="Arial"/>
          <w:b/>
          <w:color w:val="000000" w:themeColor="text1"/>
          <w:sz w:val="24"/>
          <w:szCs w:val="24"/>
        </w:rPr>
        <w:t xml:space="preserve">Support – Excluded Talent </w:t>
      </w:r>
    </w:p>
    <w:p w14:paraId="719D8907"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Have basic digital technology skills </w:t>
      </w:r>
    </w:p>
    <w:p w14:paraId="439EC96E"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Requires access to careers experiences and taster </w:t>
      </w:r>
      <w:proofErr w:type="spellStart"/>
      <w:r w:rsidRPr="00113DA7">
        <w:rPr>
          <w:rFonts w:ascii="Arial" w:eastAsia="+mn-ea" w:hAnsi="Arial" w:cs="Arial"/>
          <w:kern w:val="24"/>
          <w:sz w:val="24"/>
          <w:szCs w:val="24"/>
          <w:lang w:val="en-US" w:eastAsia="en-GB"/>
        </w:rPr>
        <w:t>programmes</w:t>
      </w:r>
      <w:proofErr w:type="spellEnd"/>
    </w:p>
    <w:p w14:paraId="3DA24C6A"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Expected progression - further learning</w:t>
      </w:r>
    </w:p>
    <w:p w14:paraId="165A54FA" w14:textId="77777777" w:rsidR="00FA5040" w:rsidRPr="00113DA7" w:rsidRDefault="00FA5040" w:rsidP="00FA5040">
      <w:pPr>
        <w:spacing w:after="160" w:line="259" w:lineRule="auto"/>
        <w:contextualSpacing/>
        <w:rPr>
          <w:rFonts w:ascii="Arial" w:eastAsia="+mn-ea" w:hAnsi="Arial" w:cs="Arial"/>
          <w:kern w:val="24"/>
          <w:sz w:val="24"/>
          <w:szCs w:val="24"/>
          <w:lang w:eastAsia="en-GB"/>
        </w:rPr>
      </w:pPr>
    </w:p>
    <w:p w14:paraId="227AC5D3" w14:textId="00115974" w:rsidR="00FA5040" w:rsidRPr="00113DA7" w:rsidRDefault="00FA5040" w:rsidP="00FA5040">
      <w:pPr>
        <w:spacing w:after="160" w:line="259" w:lineRule="auto"/>
        <w:contextualSpacing/>
        <w:rPr>
          <w:rFonts w:ascii="Arial" w:eastAsia="+mn-ea" w:hAnsi="Arial" w:cs="Arial"/>
          <w:b/>
          <w:kern w:val="24"/>
          <w:sz w:val="24"/>
          <w:szCs w:val="24"/>
          <w:lang w:eastAsia="en-GB"/>
        </w:rPr>
      </w:pPr>
      <w:r w:rsidRPr="00113DA7">
        <w:rPr>
          <w:rFonts w:ascii="Arial" w:eastAsia="+mn-ea" w:hAnsi="Arial" w:cs="Arial"/>
          <w:b/>
          <w:kern w:val="24"/>
          <w:sz w:val="24"/>
          <w:szCs w:val="24"/>
          <w:lang w:eastAsia="en-GB"/>
        </w:rPr>
        <w:t xml:space="preserve">Create – Untapped Talent </w:t>
      </w:r>
    </w:p>
    <w:p w14:paraId="5B0402AC" w14:textId="77777777" w:rsidR="00FA5040" w:rsidRPr="00113DA7" w:rsidRDefault="00FA5040" w:rsidP="00FA5040">
      <w:pPr>
        <w:spacing w:after="160" w:line="259" w:lineRule="auto"/>
        <w:contextualSpacing/>
        <w:rPr>
          <w:rFonts w:ascii="Arial" w:eastAsia="+mn-ea" w:hAnsi="Arial" w:cs="Arial"/>
          <w:b/>
          <w:kern w:val="24"/>
          <w:sz w:val="24"/>
          <w:szCs w:val="24"/>
          <w:lang w:eastAsia="en-GB"/>
        </w:rPr>
      </w:pPr>
    </w:p>
    <w:p w14:paraId="43E76437"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Have good digital technology skills</w:t>
      </w:r>
    </w:p>
    <w:p w14:paraId="1EFC62C1"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 Require a longer and supported learning required</w:t>
      </w:r>
    </w:p>
    <w:p w14:paraId="5365589C"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 Expected progression - 50/50 employment in digital tech role/further learning</w:t>
      </w:r>
    </w:p>
    <w:p w14:paraId="720531FC" w14:textId="77777777" w:rsidR="00FA5040" w:rsidRPr="00113DA7" w:rsidRDefault="00FA5040" w:rsidP="00FA5040">
      <w:pPr>
        <w:spacing w:after="160" w:line="259" w:lineRule="auto"/>
        <w:ind w:left="1267"/>
        <w:contextualSpacing/>
        <w:rPr>
          <w:rFonts w:ascii="Arial" w:hAnsi="Arial" w:cs="Arial"/>
          <w:sz w:val="24"/>
          <w:szCs w:val="24"/>
          <w:lang w:eastAsia="en-GB"/>
        </w:rPr>
      </w:pPr>
    </w:p>
    <w:p w14:paraId="4C5B7E2B" w14:textId="34A1763B" w:rsidR="00FA5040" w:rsidRPr="00113DA7" w:rsidRDefault="00FA5040" w:rsidP="00FA5040">
      <w:pPr>
        <w:spacing w:after="160" w:line="259" w:lineRule="auto"/>
        <w:ind w:left="-109"/>
        <w:rPr>
          <w:rFonts w:ascii="Arial" w:hAnsi="Arial" w:cs="Arial"/>
          <w:b/>
          <w:color w:val="000000" w:themeColor="text1"/>
          <w:sz w:val="24"/>
          <w:szCs w:val="24"/>
        </w:rPr>
      </w:pPr>
      <w:r w:rsidRPr="00113DA7">
        <w:rPr>
          <w:rFonts w:ascii="Arial" w:hAnsi="Arial" w:cs="Arial"/>
          <w:b/>
          <w:color w:val="000000" w:themeColor="text1"/>
          <w:sz w:val="24"/>
          <w:szCs w:val="24"/>
        </w:rPr>
        <w:t xml:space="preserve">Enhance – Existing Workforce </w:t>
      </w:r>
    </w:p>
    <w:p w14:paraId="6D040791"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lastRenderedPageBreak/>
        <w:t>Have good digital technology skills</w:t>
      </w:r>
    </w:p>
    <w:p w14:paraId="4EA33E9C"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 Digital driving change in job role for employer</w:t>
      </w:r>
    </w:p>
    <w:p w14:paraId="67A5C71A"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 Require supported learning tailored to job role, employer or sector</w:t>
      </w:r>
    </w:p>
    <w:p w14:paraId="5DD427E1" w14:textId="77777777" w:rsidR="00FA5040" w:rsidRPr="00113DA7" w:rsidRDefault="00FA5040" w:rsidP="00FA5040">
      <w:pPr>
        <w:numPr>
          <w:ilvl w:val="0"/>
          <w:numId w:val="12"/>
        </w:numPr>
        <w:spacing w:after="160" w:line="259" w:lineRule="auto"/>
        <w:ind w:left="360"/>
        <w:contextualSpacing/>
        <w:rPr>
          <w:rFonts w:ascii="Arial" w:eastAsia="+mn-ea" w:hAnsi="Arial" w:cs="Arial"/>
          <w:kern w:val="24"/>
          <w:sz w:val="24"/>
          <w:szCs w:val="24"/>
          <w:lang w:val="en-US" w:eastAsia="en-GB"/>
        </w:rPr>
      </w:pPr>
      <w:r w:rsidRPr="00113DA7">
        <w:rPr>
          <w:rFonts w:ascii="Arial" w:eastAsia="+mn-ea" w:hAnsi="Arial" w:cs="Arial"/>
          <w:kern w:val="24"/>
          <w:sz w:val="24"/>
          <w:szCs w:val="24"/>
          <w:lang w:val="en-US" w:eastAsia="en-GB"/>
        </w:rPr>
        <w:t xml:space="preserve"> Expected progression – 50/50 retain employment/employment in same sector</w:t>
      </w:r>
    </w:p>
    <w:p w14:paraId="2F0AD11C" w14:textId="77777777" w:rsidR="00FA5040" w:rsidRPr="00113DA7" w:rsidRDefault="00FA5040" w:rsidP="00FA5040">
      <w:pPr>
        <w:spacing w:after="160" w:line="259" w:lineRule="auto"/>
        <w:ind w:left="1267"/>
        <w:contextualSpacing/>
        <w:rPr>
          <w:rFonts w:ascii="Arial" w:hAnsi="Arial" w:cs="Arial"/>
          <w:sz w:val="24"/>
          <w:szCs w:val="24"/>
          <w:lang w:eastAsia="en-GB"/>
        </w:rPr>
      </w:pPr>
    </w:p>
    <w:p w14:paraId="4D04E800" w14:textId="31418D07" w:rsidR="00FA5040" w:rsidRPr="00113DA7" w:rsidRDefault="00FA5040" w:rsidP="00FA5040">
      <w:pPr>
        <w:spacing w:after="160" w:line="259" w:lineRule="auto"/>
        <w:ind w:left="-109"/>
        <w:rPr>
          <w:rFonts w:ascii="Arial" w:hAnsi="Arial" w:cs="Arial"/>
          <w:b/>
          <w:color w:val="000000" w:themeColor="text1"/>
          <w:sz w:val="24"/>
          <w:szCs w:val="24"/>
        </w:rPr>
      </w:pPr>
      <w:r w:rsidRPr="00113DA7">
        <w:rPr>
          <w:rFonts w:ascii="Arial" w:hAnsi="Arial" w:cs="Arial"/>
          <w:b/>
          <w:color w:val="000000" w:themeColor="text1"/>
          <w:sz w:val="24"/>
          <w:szCs w:val="24"/>
        </w:rPr>
        <w:t xml:space="preserve">Activate – Hidden Talent </w:t>
      </w:r>
    </w:p>
    <w:p w14:paraId="5045371E" w14:textId="77777777" w:rsidR="00FA5040" w:rsidRPr="00113DA7" w:rsidRDefault="00FA5040" w:rsidP="00FA5040">
      <w:pPr>
        <w:numPr>
          <w:ilvl w:val="0"/>
          <w:numId w:val="12"/>
        </w:numPr>
        <w:spacing w:after="160" w:line="259" w:lineRule="auto"/>
        <w:ind w:left="360"/>
        <w:contextualSpacing/>
        <w:rPr>
          <w:rFonts w:ascii="Arial" w:hAnsi="Arial" w:cs="Arial"/>
          <w:sz w:val="24"/>
          <w:szCs w:val="24"/>
          <w:lang w:eastAsia="en-GB"/>
        </w:rPr>
      </w:pPr>
      <w:r w:rsidRPr="00113DA7">
        <w:rPr>
          <w:rFonts w:ascii="Arial" w:eastAsia="+mn-ea" w:hAnsi="Arial" w:cs="Arial"/>
          <w:kern w:val="24"/>
          <w:sz w:val="24"/>
          <w:szCs w:val="24"/>
          <w:lang w:val="en-US" w:eastAsia="en-GB"/>
        </w:rPr>
        <w:t xml:space="preserve">Have significant transferable digital technology skills </w:t>
      </w:r>
    </w:p>
    <w:p w14:paraId="0A60620D" w14:textId="77777777" w:rsidR="00FA5040" w:rsidRPr="00113DA7" w:rsidRDefault="00FA5040" w:rsidP="00FA5040">
      <w:pPr>
        <w:numPr>
          <w:ilvl w:val="0"/>
          <w:numId w:val="12"/>
        </w:numPr>
        <w:spacing w:after="160" w:line="259" w:lineRule="auto"/>
        <w:ind w:left="360"/>
        <w:contextualSpacing/>
        <w:rPr>
          <w:rFonts w:ascii="Arial" w:hAnsi="Arial" w:cs="Arial"/>
          <w:sz w:val="24"/>
          <w:szCs w:val="24"/>
          <w:lang w:eastAsia="en-GB"/>
        </w:rPr>
      </w:pPr>
      <w:r w:rsidRPr="00113DA7">
        <w:rPr>
          <w:rFonts w:ascii="Arial" w:eastAsia="+mn-ea" w:hAnsi="Arial" w:cs="Arial"/>
          <w:kern w:val="24"/>
          <w:sz w:val="24"/>
          <w:szCs w:val="24"/>
          <w:lang w:val="en-US" w:eastAsia="en-GB"/>
        </w:rPr>
        <w:t xml:space="preserve"> Require short, intensive, immersive learning</w:t>
      </w:r>
    </w:p>
    <w:p w14:paraId="2E9E52A2" w14:textId="5DB7D78A" w:rsidR="00FA5040" w:rsidRPr="00113DA7" w:rsidRDefault="00FA5040" w:rsidP="00FA5040">
      <w:pPr>
        <w:numPr>
          <w:ilvl w:val="0"/>
          <w:numId w:val="12"/>
        </w:numPr>
        <w:spacing w:after="160" w:line="259" w:lineRule="auto"/>
        <w:ind w:left="360"/>
        <w:contextualSpacing/>
        <w:rPr>
          <w:rFonts w:ascii="Arial" w:hAnsi="Arial" w:cs="Arial"/>
          <w:sz w:val="24"/>
          <w:szCs w:val="24"/>
          <w:lang w:eastAsia="en-GB"/>
        </w:rPr>
      </w:pPr>
      <w:r w:rsidRPr="00113DA7">
        <w:rPr>
          <w:rFonts w:ascii="Arial" w:eastAsia="+mn-ea" w:hAnsi="Arial" w:cs="Arial"/>
          <w:kern w:val="24"/>
          <w:sz w:val="24"/>
          <w:szCs w:val="24"/>
          <w:lang w:val="en-US" w:eastAsia="en-GB"/>
        </w:rPr>
        <w:t xml:space="preserve"> Expected progression – employment in professional digital tech role </w:t>
      </w:r>
    </w:p>
    <w:p w14:paraId="70D49F13" w14:textId="27E782DB" w:rsidR="00113DA7" w:rsidRDefault="00113DA7" w:rsidP="00113DA7">
      <w:pPr>
        <w:spacing w:after="160" w:line="259" w:lineRule="auto"/>
        <w:contextualSpacing/>
        <w:rPr>
          <w:rFonts w:ascii="Arial" w:eastAsia="+mn-ea" w:hAnsi="Arial" w:cs="Arial"/>
          <w:kern w:val="24"/>
          <w:szCs w:val="24"/>
          <w:lang w:val="en-US" w:eastAsia="en-GB"/>
        </w:rPr>
      </w:pPr>
    </w:p>
    <w:p w14:paraId="2AC426B5" w14:textId="4349FDAB" w:rsidR="00113DA7" w:rsidRDefault="00113DA7" w:rsidP="00113DA7">
      <w:pPr>
        <w:shd w:val="clear" w:color="auto" w:fill="FFFFFF"/>
        <w:rPr>
          <w:rFonts w:ascii="Arial" w:hAnsi="Arial" w:cs="Arial"/>
        </w:rPr>
      </w:pPr>
      <w:r>
        <w:rPr>
          <w:rFonts w:ascii="Arial" w:eastAsia="Times" w:hAnsi="Arial" w:cs="Arial"/>
          <w:sz w:val="24"/>
          <w:szCs w:val="24"/>
        </w:rPr>
        <w:t xml:space="preserve">This will run until 31 March 2022, hence there will not be a review date of this </w:t>
      </w:r>
      <w:proofErr w:type="spellStart"/>
      <w:r>
        <w:rPr>
          <w:rFonts w:ascii="Arial" w:eastAsia="Times" w:hAnsi="Arial" w:cs="Arial"/>
          <w:sz w:val="24"/>
          <w:szCs w:val="24"/>
        </w:rPr>
        <w:t>EqIA</w:t>
      </w:r>
      <w:proofErr w:type="spellEnd"/>
      <w:r>
        <w:rPr>
          <w:rFonts w:ascii="Arial" w:eastAsia="Times" w:hAnsi="Arial" w:cs="Arial"/>
          <w:sz w:val="24"/>
          <w:szCs w:val="24"/>
        </w:rPr>
        <w:t>.  This will be reviewed if there are future projects of a similar nature, the project is extended, or significant changes made</w:t>
      </w:r>
      <w:r>
        <w:rPr>
          <w:rFonts w:ascii="Arial" w:eastAsia="Times" w:hAnsi="Arial" w:cs="Arial"/>
          <w:sz w:val="24"/>
          <w:szCs w:val="24"/>
        </w:rPr>
        <w:t>.</w:t>
      </w:r>
    </w:p>
    <w:p w14:paraId="7793D536" w14:textId="77777777" w:rsidR="00113DA7" w:rsidRPr="00FA5040" w:rsidRDefault="00113DA7" w:rsidP="00113DA7">
      <w:pPr>
        <w:spacing w:after="160" w:line="259" w:lineRule="auto"/>
        <w:contextualSpacing/>
        <w:rPr>
          <w:rFonts w:ascii="Arial" w:hAnsi="Arial" w:cs="Arial"/>
          <w:szCs w:val="24"/>
          <w:lang w:eastAsia="en-GB"/>
        </w:rPr>
      </w:pPr>
    </w:p>
    <w:p w14:paraId="5FEC5A4B" w14:textId="0AD4D663" w:rsidR="00A4312A" w:rsidRPr="005C0378" w:rsidRDefault="00A4312A" w:rsidP="00FA5040">
      <w:pPr>
        <w:spacing w:after="160" w:line="259" w:lineRule="auto"/>
        <w:rPr>
          <w:rFonts w:ascii="Arial" w:hAnsi="Arial" w:cs="Arial"/>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E31372E" w14:textId="7B73E155"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126279">
        <w:rPr>
          <w:rFonts w:ascii="Arial" w:eastAsia="Calibri" w:hAnsi="Arial" w:cs="Arial"/>
          <w:sz w:val="24"/>
          <w:szCs w:val="24"/>
          <w:lang w:val="en-US"/>
        </w:rPr>
        <w:t xml:space="preserve">should </w:t>
      </w:r>
      <w:r w:rsidR="000F3A78">
        <w:rPr>
          <w:rFonts w:ascii="Arial" w:eastAsia="Calibri" w:hAnsi="Arial" w:cs="Arial"/>
          <w:sz w:val="24"/>
          <w:szCs w:val="24"/>
          <w:lang w:val="en-US"/>
        </w:rPr>
        <w:t>consider</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e impact of your large project/directorate on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 The</w:t>
      </w:r>
      <w:r w:rsidR="007E7ED6" w:rsidRPr="00A2508E">
        <w:rPr>
          <w:rFonts w:ascii="Arial" w:eastAsia="Calibri" w:hAnsi="Arial" w:cs="Arial"/>
          <w:sz w:val="24"/>
          <w:szCs w:val="24"/>
          <w:lang w:val="en-US"/>
        </w:rPr>
        <w:t xml:space="preserve"> </w:t>
      </w:r>
      <w:hyperlink r:id="rId13" w:history="1">
        <w:r w:rsidR="007E7ED6" w:rsidRPr="00A2508E">
          <w:rPr>
            <w:rStyle w:val="Hyperlink"/>
            <w:rFonts w:eastAsia="Calibri" w:cs="Arial"/>
            <w:szCs w:val="24"/>
            <w:lang w:val="en-US"/>
          </w:rPr>
          <w:t>Equality Evidence Review</w:t>
        </w:r>
      </w:hyperlink>
      <w:r w:rsidR="007E7ED6" w:rsidRPr="00A2508E">
        <w:rPr>
          <w:rFonts w:ascii="Arial" w:eastAsia="Calibri" w:hAnsi="Arial" w:cs="Arial"/>
          <w:sz w:val="24"/>
          <w:szCs w:val="24"/>
          <w:lang w:val="en-US"/>
        </w:rPr>
        <w:t xml:space="preserve"> has</w:t>
      </w:r>
      <w:r w:rsidR="004B4E51" w:rsidRPr="00A2508E">
        <w:rPr>
          <w:rFonts w:ascii="Arial" w:eastAsia="Calibri" w:hAnsi="Arial" w:cs="Arial"/>
          <w:sz w:val="24"/>
          <w:szCs w:val="24"/>
          <w:lang w:val="en-US"/>
        </w:rPr>
        <w:t xml:space="preserve"> information on school, Further/Higher education and employment for different groups. Think </w:t>
      </w:r>
      <w:r w:rsidR="0009167C" w:rsidRPr="00A2508E">
        <w:rPr>
          <w:rFonts w:ascii="Arial" w:eastAsia="Calibri" w:hAnsi="Arial" w:cs="Arial"/>
          <w:sz w:val="24"/>
          <w:szCs w:val="24"/>
          <w:lang w:val="en-US"/>
        </w:rPr>
        <w:t xml:space="preserve">about </w:t>
      </w:r>
      <w:r w:rsidR="00A71410">
        <w:rPr>
          <w:rFonts w:ascii="Arial" w:eastAsia="Calibri" w:hAnsi="Arial" w:cs="Arial"/>
          <w:sz w:val="24"/>
          <w:szCs w:val="24"/>
          <w:lang w:val="en-US"/>
        </w:rPr>
        <w:t>the</w:t>
      </w:r>
      <w:r w:rsidR="00911AA5" w:rsidRPr="00A2508E">
        <w:rPr>
          <w:rFonts w:ascii="Arial" w:eastAsia="Calibri" w:hAnsi="Arial" w:cs="Arial"/>
          <w:sz w:val="24"/>
          <w:szCs w:val="24"/>
          <w:lang w:val="en-US"/>
        </w:rPr>
        <w:t xml:space="preserve"> </w:t>
      </w:r>
      <w:r w:rsidR="0009167C" w:rsidRPr="00A2508E">
        <w:rPr>
          <w:rFonts w:ascii="Arial" w:eastAsia="Calibri" w:hAnsi="Arial" w:cs="Arial"/>
          <w:b/>
          <w:sz w:val="24"/>
          <w:szCs w:val="24"/>
          <w:lang w:val="en-US"/>
        </w:rPr>
        <w:t>action</w:t>
      </w:r>
      <w:r w:rsidR="00911AA5" w:rsidRPr="00A2508E">
        <w:rPr>
          <w:rFonts w:ascii="Arial" w:eastAsia="Calibri" w:hAnsi="Arial" w:cs="Arial"/>
          <w:b/>
          <w:sz w:val="24"/>
          <w:szCs w:val="24"/>
          <w:lang w:val="en-US"/>
        </w:rPr>
        <w:t>s</w:t>
      </w:r>
      <w:r w:rsidR="0009167C" w:rsidRPr="00A2508E">
        <w:rPr>
          <w:rFonts w:ascii="Arial" w:eastAsia="Calibri" w:hAnsi="Arial" w:cs="Arial"/>
          <w:b/>
          <w:sz w:val="24"/>
          <w:szCs w:val="24"/>
          <w:lang w:val="en-US"/>
        </w:rPr>
        <w:t xml:space="preserve"> </w:t>
      </w:r>
      <w:r w:rsidR="0009167C" w:rsidRPr="00A2508E">
        <w:rPr>
          <w:rFonts w:ascii="Arial" w:eastAsia="Calibri" w:hAnsi="Arial" w:cs="Arial"/>
          <w:sz w:val="24"/>
          <w:szCs w:val="24"/>
          <w:lang w:val="en-US"/>
        </w:rPr>
        <w:t>required</w:t>
      </w:r>
      <w:r w:rsidR="00A71410">
        <w:rPr>
          <w:rFonts w:ascii="Arial" w:eastAsia="Calibri" w:hAnsi="Arial" w:cs="Arial"/>
          <w:sz w:val="24"/>
          <w:szCs w:val="24"/>
          <w:lang w:val="en-US"/>
        </w:rPr>
        <w:t>. They</w:t>
      </w:r>
      <w:r w:rsidR="0009167C" w:rsidRPr="00A2508E">
        <w:rPr>
          <w:rFonts w:ascii="Arial" w:eastAsia="Calibri" w:hAnsi="Arial" w:cs="Arial"/>
          <w:sz w:val="24"/>
          <w:szCs w:val="24"/>
          <w:lang w:val="en-US"/>
        </w:rPr>
        <w:t xml:space="preserve"> will be collated on the action plan in the next section.</w:t>
      </w:r>
      <w:r w:rsidR="0044588D" w:rsidRPr="00A2508E">
        <w:rPr>
          <w:rFonts w:ascii="Arial" w:eastAsia="Calibri" w:hAnsi="Arial" w:cs="Arial"/>
          <w:sz w:val="24"/>
          <w:szCs w:val="24"/>
          <w:lang w:val="en-US"/>
        </w:rPr>
        <w:t xml:space="preserve"> Please add rows</w:t>
      </w:r>
      <w:r w:rsidR="000F3A78">
        <w:rPr>
          <w:rFonts w:ascii="Arial" w:eastAsia="Calibri" w:hAnsi="Arial" w:cs="Arial"/>
          <w:sz w:val="24"/>
          <w:szCs w:val="24"/>
          <w:lang w:val="en-US"/>
        </w:rPr>
        <w:t>,</w:t>
      </w:r>
      <w:r w:rsidR="0044588D" w:rsidRPr="00A2508E">
        <w:rPr>
          <w:rFonts w:ascii="Arial" w:eastAsia="Calibri" w:hAnsi="Arial" w:cs="Arial"/>
          <w:sz w:val="24"/>
          <w:szCs w:val="24"/>
          <w:lang w:val="en-US"/>
        </w:rPr>
        <w:t xml:space="preserve"> as required</w:t>
      </w:r>
      <w:r w:rsidR="00177065">
        <w:rPr>
          <w:rFonts w:ascii="Arial" w:eastAsia="Calibri" w:hAnsi="Arial" w:cs="Arial"/>
          <w:sz w:val="24"/>
          <w:szCs w:val="24"/>
          <w:lang w:val="en-US"/>
        </w:rPr>
        <w:t xml:space="preserve">. </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4651D2C1"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1221AF" w:rsidRPr="008F6B16">
        <w:rPr>
          <w:rFonts w:ascii="Arial" w:hAnsi="Arial" w:cs="Arial"/>
          <w:sz w:val="24"/>
          <w:szCs w:val="24"/>
        </w:rPr>
        <w:t>An ageing workforce in Scotland raises the possibility of discrimination, with older workers less likely to be supported through upskilling and reskilling opportunities compared to younger colleagues</w:t>
      </w:r>
      <w:r w:rsidR="001221AF">
        <w:rPr>
          <w:rFonts w:ascii="Arial" w:hAnsi="Arial" w:cs="Arial"/>
          <w:sz w:val="24"/>
          <w:szCs w:val="24"/>
        </w:rPr>
        <w:t>.  This project focuses on supporting workers in</w:t>
      </w:r>
      <w:r w:rsidR="004874A4">
        <w:rPr>
          <w:rFonts w:ascii="Arial" w:hAnsi="Arial" w:cs="Arial"/>
          <w:sz w:val="24"/>
          <w:szCs w:val="24"/>
        </w:rPr>
        <w:t xml:space="preserve">to in demand digital needs across all </w:t>
      </w:r>
      <w:r w:rsidR="001221AF">
        <w:rPr>
          <w:rFonts w:ascii="Arial" w:hAnsi="Arial" w:cs="Arial"/>
          <w:sz w:val="24"/>
          <w:szCs w:val="24"/>
        </w:rPr>
        <w:t>sector</w:t>
      </w:r>
      <w:r w:rsidR="004874A4">
        <w:rPr>
          <w:rFonts w:ascii="Arial" w:hAnsi="Arial" w:cs="Arial"/>
          <w:sz w:val="24"/>
          <w:szCs w:val="24"/>
        </w:rPr>
        <w:t>s</w:t>
      </w:r>
      <w:r w:rsidR="001221AF">
        <w:rPr>
          <w:rFonts w:ascii="Arial" w:hAnsi="Arial" w:cs="Arial"/>
          <w:sz w:val="24"/>
          <w:szCs w:val="24"/>
        </w:rPr>
        <w:t xml:space="preserve">  impacted by the pandemic and also Brexit to </w:t>
      </w:r>
      <w:r w:rsidR="001221AF" w:rsidRPr="008F6B16">
        <w:rPr>
          <w:rFonts w:ascii="Arial" w:hAnsi="Arial" w:cs="Arial"/>
          <w:sz w:val="24"/>
          <w:szCs w:val="24"/>
        </w:rPr>
        <w:t xml:space="preserve">help </w:t>
      </w:r>
      <w:r w:rsidR="001221AF">
        <w:rPr>
          <w:rFonts w:ascii="Arial" w:hAnsi="Arial" w:cs="Arial"/>
          <w:sz w:val="24"/>
          <w:szCs w:val="24"/>
        </w:rPr>
        <w:t>build expertise, capability and improve productivity.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17"/>
        <w:gridCol w:w="64"/>
        <w:gridCol w:w="2410"/>
        <w:gridCol w:w="148"/>
        <w:gridCol w:w="3679"/>
        <w:gridCol w:w="95"/>
        <w:gridCol w:w="4583"/>
      </w:tblGrid>
      <w:tr w:rsidR="00D1585A" w:rsidRPr="00A16B84" w14:paraId="21B08F20" w14:textId="77777777" w:rsidTr="009337D0">
        <w:trPr>
          <w:trHeight w:val="648"/>
          <w:tblHeader/>
        </w:trPr>
        <w:tc>
          <w:tcPr>
            <w:tcW w:w="3681" w:type="dxa"/>
            <w:gridSpan w:val="2"/>
            <w:shd w:val="clear" w:color="auto" w:fill="006373"/>
            <w:tcMar>
              <w:top w:w="57" w:type="dxa"/>
              <w:left w:w="57" w:type="dxa"/>
              <w:right w:w="57" w:type="dxa"/>
            </w:tcMar>
          </w:tcPr>
          <w:p w14:paraId="6C95B01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gridSpan w:val="2"/>
            <w:shd w:val="clear" w:color="auto" w:fill="006373"/>
            <w:tcMar>
              <w:top w:w="57" w:type="dxa"/>
              <w:left w:w="57" w:type="dxa"/>
              <w:right w:w="57" w:type="dxa"/>
            </w:tcMar>
          </w:tcPr>
          <w:p w14:paraId="1001884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gridSpan w:val="2"/>
            <w:shd w:val="clear" w:color="auto" w:fill="006373"/>
            <w:tcMar>
              <w:top w:w="57" w:type="dxa"/>
              <w:left w:w="57" w:type="dxa"/>
              <w:right w:w="57" w:type="dxa"/>
            </w:tcMar>
          </w:tcPr>
          <w:p w14:paraId="25D61A02"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E8431B" w:rsidRPr="00A16B84" w14:paraId="6E71FDE7" w14:textId="77777777" w:rsidTr="0026197E">
        <w:tc>
          <w:tcPr>
            <w:tcW w:w="3617" w:type="dxa"/>
            <w:tcMar>
              <w:left w:w="57" w:type="dxa"/>
              <w:right w:w="57" w:type="dxa"/>
            </w:tcMar>
          </w:tcPr>
          <w:p w14:paraId="418A822F" w14:textId="77777777" w:rsidR="00E8431B" w:rsidRDefault="00E8431B" w:rsidP="0026197E">
            <w:pPr>
              <w:pStyle w:val="SDSHeading"/>
              <w:spacing w:before="120" w:after="120" w:line="20" w:lineRule="atLeast"/>
              <w:rPr>
                <w:b w:val="0"/>
              </w:rPr>
            </w:pPr>
            <w:r>
              <w:rPr>
                <w:b w:val="0"/>
              </w:rPr>
              <w:t xml:space="preserve">Tranche 2 NTTF  </w:t>
            </w:r>
            <w:r w:rsidRPr="00833645">
              <w:rPr>
                <w:b w:val="0"/>
              </w:rPr>
              <w:t>Upskilling</w:t>
            </w:r>
            <w:r>
              <w:rPr>
                <w:b w:val="0"/>
              </w:rPr>
              <w:t xml:space="preserve"> not available to young people (under 24) </w:t>
            </w:r>
          </w:p>
          <w:p w14:paraId="186F460A" w14:textId="77777777" w:rsidR="003773FB" w:rsidRDefault="003773FB" w:rsidP="0026197E">
            <w:pPr>
              <w:pStyle w:val="SDSHeading"/>
              <w:spacing w:before="120" w:after="120" w:line="20" w:lineRule="atLeast"/>
              <w:rPr>
                <w:b w:val="0"/>
              </w:rPr>
            </w:pPr>
          </w:p>
          <w:p w14:paraId="5C6C5783" w14:textId="77777777" w:rsidR="003773FB" w:rsidRDefault="003773FB" w:rsidP="0026197E">
            <w:pPr>
              <w:pStyle w:val="SDSHeading"/>
              <w:spacing w:before="120" w:after="120" w:line="20" w:lineRule="atLeast"/>
              <w:rPr>
                <w:b w:val="0"/>
              </w:rPr>
            </w:pPr>
            <w:r>
              <w:rPr>
                <w:b w:val="0"/>
              </w:rPr>
              <w:lastRenderedPageBreak/>
              <w:t>Programme specifically focused on those not recently graduating from education, so inclusive of a wide age range of individuals</w:t>
            </w:r>
          </w:p>
          <w:p w14:paraId="3F857F7A" w14:textId="77777777" w:rsidR="00600EEF" w:rsidRDefault="00600EEF" w:rsidP="0026197E">
            <w:pPr>
              <w:pStyle w:val="SDSHeading"/>
              <w:spacing w:before="120" w:after="120" w:line="20" w:lineRule="atLeast"/>
              <w:rPr>
                <w:b w:val="0"/>
              </w:rPr>
            </w:pPr>
          </w:p>
          <w:p w14:paraId="0E4FE7E5" w14:textId="514FAA80" w:rsidR="00600EEF" w:rsidRDefault="00600EEF" w:rsidP="0026197E">
            <w:pPr>
              <w:pStyle w:val="SDSHeading"/>
              <w:spacing w:before="120" w:after="120" w:line="20" w:lineRule="atLeast"/>
              <w:rPr>
                <w:b w:val="0"/>
              </w:rPr>
            </w:pPr>
          </w:p>
        </w:tc>
        <w:tc>
          <w:tcPr>
            <w:tcW w:w="2622" w:type="dxa"/>
            <w:gridSpan w:val="3"/>
            <w:tcMar>
              <w:left w:w="57" w:type="dxa"/>
              <w:right w:w="57" w:type="dxa"/>
            </w:tcMar>
          </w:tcPr>
          <w:p w14:paraId="2A7FF417" w14:textId="77777777" w:rsidR="00E8431B" w:rsidRDefault="00E8431B" w:rsidP="0026197E">
            <w:pPr>
              <w:pStyle w:val="SDSHeading"/>
              <w:spacing w:before="120" w:after="120" w:line="20" w:lineRule="atLeast"/>
              <w:rPr>
                <w:b w:val="0"/>
                <w:bCs w:val="0"/>
              </w:rPr>
            </w:pPr>
            <w:r w:rsidRPr="00833645">
              <w:rPr>
                <w:b w:val="0"/>
              </w:rPr>
              <w:lastRenderedPageBreak/>
              <w:t>N/A</w:t>
            </w:r>
          </w:p>
        </w:tc>
        <w:tc>
          <w:tcPr>
            <w:tcW w:w="3774" w:type="dxa"/>
            <w:gridSpan w:val="2"/>
            <w:tcMar>
              <w:left w:w="57" w:type="dxa"/>
              <w:right w:w="57" w:type="dxa"/>
            </w:tcMar>
          </w:tcPr>
          <w:p w14:paraId="09C3DD2B" w14:textId="787CDCA8" w:rsidR="00E8431B" w:rsidRDefault="00FD7788" w:rsidP="0026197E">
            <w:pPr>
              <w:pStyle w:val="SDSHeading"/>
              <w:spacing w:before="120" w:after="120" w:line="20" w:lineRule="atLeast"/>
              <w:rPr>
                <w:b w:val="0"/>
              </w:rPr>
            </w:pPr>
            <w:r w:rsidRPr="00FD7788">
              <w:rPr>
                <w:b w:val="0"/>
                <w:bCs w:val="0"/>
              </w:rPr>
              <w:t xml:space="preserve">Significant resources are deployed through Developing Young Workforce (DYW) and Young Persons Guarantee (YPG) to attract young people into the </w:t>
            </w:r>
            <w:r w:rsidRPr="00FD7788">
              <w:rPr>
                <w:b w:val="0"/>
                <w:bCs w:val="0"/>
              </w:rPr>
              <w:lastRenderedPageBreak/>
              <w:t>sector. Entry routes, including Foundation Apprenticeship, Modern Apprenticeships and Kickstart are targeted specifically at young people</w:t>
            </w:r>
            <w:r>
              <w:t xml:space="preserve"> </w:t>
            </w:r>
          </w:p>
        </w:tc>
        <w:tc>
          <w:tcPr>
            <w:tcW w:w="4583" w:type="dxa"/>
            <w:tcMar>
              <w:left w:w="57" w:type="dxa"/>
              <w:right w:w="57" w:type="dxa"/>
            </w:tcMar>
          </w:tcPr>
          <w:p w14:paraId="2076E834" w14:textId="4F5DCB37" w:rsidR="00E8431B" w:rsidRDefault="00E8431B" w:rsidP="0026197E">
            <w:pPr>
              <w:pStyle w:val="SDSHeading"/>
              <w:spacing w:before="120" w:after="120" w:line="20" w:lineRule="atLeast"/>
              <w:rPr>
                <w:b w:val="0"/>
              </w:rPr>
            </w:pPr>
            <w:r>
              <w:rPr>
                <w:b w:val="0"/>
              </w:rPr>
              <w:lastRenderedPageBreak/>
              <w:t>Be clear in communication</w:t>
            </w:r>
            <w:r w:rsidR="00DA75B7">
              <w:rPr>
                <w:b w:val="0"/>
              </w:rPr>
              <w:t xml:space="preserve">s </w:t>
            </w:r>
            <w:r>
              <w:rPr>
                <w:b w:val="0"/>
              </w:rPr>
              <w:t xml:space="preserve">to </w:t>
            </w:r>
            <w:r w:rsidR="00DA75B7">
              <w:rPr>
                <w:b w:val="0"/>
              </w:rPr>
              <w:t>under 24 year olds</w:t>
            </w:r>
            <w:r>
              <w:rPr>
                <w:b w:val="0"/>
              </w:rPr>
              <w:t xml:space="preserve"> about </w:t>
            </w:r>
            <w:r w:rsidR="00DA75B7">
              <w:rPr>
                <w:b w:val="0"/>
              </w:rPr>
              <w:t>alternative</w:t>
            </w:r>
            <w:r>
              <w:rPr>
                <w:b w:val="0"/>
              </w:rPr>
              <w:t xml:space="preserve"> opportunities for younger people in terms of upskilling</w:t>
            </w:r>
          </w:p>
          <w:p w14:paraId="5DBEF4F8" w14:textId="77777777" w:rsidR="003773FB" w:rsidRDefault="003773FB" w:rsidP="0026197E">
            <w:pPr>
              <w:pStyle w:val="SDSHeading"/>
              <w:spacing w:before="120" w:after="120" w:line="20" w:lineRule="atLeast"/>
              <w:rPr>
                <w:b w:val="0"/>
              </w:rPr>
            </w:pPr>
          </w:p>
          <w:p w14:paraId="2F9571DB" w14:textId="77777777" w:rsidR="003773FB" w:rsidRDefault="003773FB" w:rsidP="0026197E">
            <w:pPr>
              <w:pStyle w:val="SDSHeading"/>
              <w:spacing w:before="120" w:after="120" w:line="20" w:lineRule="atLeast"/>
              <w:rPr>
                <w:b w:val="0"/>
              </w:rPr>
            </w:pPr>
            <w:r>
              <w:rPr>
                <w:b w:val="0"/>
              </w:rPr>
              <w:lastRenderedPageBreak/>
              <w:t xml:space="preserve">Ensure flexibility in approach to ensure training is modified to support older individuals whose digital awareness may be more limited </w:t>
            </w:r>
          </w:p>
          <w:p w14:paraId="3A0860AF" w14:textId="3E49DDA8" w:rsidR="00600EEF" w:rsidRDefault="00600EEF" w:rsidP="0026197E">
            <w:pPr>
              <w:pStyle w:val="SDSHeading"/>
              <w:spacing w:before="120" w:after="120" w:line="20" w:lineRule="atLeast"/>
              <w:rPr>
                <w:b w:val="0"/>
              </w:rPr>
            </w:pP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Disability</w:t>
      </w:r>
      <w:r w:rsidR="00060D64" w:rsidRPr="00060D64">
        <w:rPr>
          <w:rFonts w:ascii="Arial" w:eastAsia="Calibri" w:hAnsi="Arial" w:cs="Arial"/>
          <w:b/>
          <w:color w:val="006373"/>
          <w:sz w:val="28"/>
          <w:szCs w:val="24"/>
          <w:lang w:val="en-US"/>
        </w:rPr>
        <w:t xml:space="preserve"> </w:t>
      </w:r>
    </w:p>
    <w:p w14:paraId="5F15B9DE" w14:textId="4A4B8A1B"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316A73" w:rsidRPr="00A92E14">
        <w:rPr>
          <w:rFonts w:ascii="Arial" w:eastAsia="Calibri" w:hAnsi="Arial" w:cs="Arial"/>
          <w:sz w:val="24"/>
          <w:szCs w:val="24"/>
          <w:lang w:val="en-US"/>
        </w:rPr>
        <w:t>Disabled people generally have poorer employment outcomes</w:t>
      </w:r>
      <w:r w:rsidR="00316A73">
        <w:rPr>
          <w:rFonts w:ascii="Arial" w:eastAsia="Calibri" w:hAnsi="Arial" w:cs="Arial"/>
          <w:sz w:val="24"/>
          <w:szCs w:val="24"/>
          <w:lang w:val="en-US"/>
        </w:rPr>
        <w:t xml:space="preserve"> </w:t>
      </w:r>
      <w:r w:rsidR="00316A73" w:rsidRPr="00A92E14">
        <w:rPr>
          <w:rFonts w:ascii="Arial" w:eastAsia="Calibri" w:hAnsi="Arial" w:cs="Arial"/>
          <w:sz w:val="24"/>
          <w:szCs w:val="24"/>
          <w:lang w:val="en-US"/>
        </w:rPr>
        <w:t>and are more likely to go into Further Education after school.   Disabled people are more likely to be unemployed or under-employed than their peers, for example a disabled person with a degree is more likely to be unemployed than a non-disabled person without a degree</w:t>
      </w:r>
      <w:r w:rsidR="00316A73">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CB5558" w:rsidRPr="00A16B84" w14:paraId="23176650" w14:textId="77777777" w:rsidTr="0026197E">
        <w:trPr>
          <w:trHeight w:val="1750"/>
        </w:trPr>
        <w:tc>
          <w:tcPr>
            <w:tcW w:w="3681" w:type="dxa"/>
            <w:tcBorders>
              <w:bottom w:val="single" w:sz="4" w:space="0" w:color="404040" w:themeColor="text1" w:themeTint="BF"/>
            </w:tcBorders>
            <w:tcMar>
              <w:left w:w="57" w:type="dxa"/>
              <w:right w:w="57" w:type="dxa"/>
            </w:tcMar>
          </w:tcPr>
          <w:p w14:paraId="45A16F15" w14:textId="49A4EE63" w:rsidR="00CB5558" w:rsidRDefault="001B1591" w:rsidP="0026197E">
            <w:pPr>
              <w:pStyle w:val="NoSpacing"/>
              <w:rPr>
                <w:rFonts w:ascii="Arial" w:hAnsi="Arial" w:cs="Arial"/>
                <w:sz w:val="24"/>
                <w:szCs w:val="24"/>
              </w:rPr>
            </w:pPr>
            <w:r>
              <w:rPr>
                <w:rFonts w:ascii="Arial" w:hAnsi="Arial" w:cs="Arial"/>
                <w:sz w:val="24"/>
                <w:szCs w:val="24"/>
              </w:rPr>
              <w:t>I</w:t>
            </w:r>
            <w:r w:rsidR="00F86125">
              <w:rPr>
                <w:rFonts w:ascii="Arial" w:hAnsi="Arial" w:cs="Arial"/>
                <w:sz w:val="24"/>
                <w:szCs w:val="24"/>
              </w:rPr>
              <w:t>f</w:t>
            </w:r>
            <w:r>
              <w:rPr>
                <w:rFonts w:ascii="Arial" w:hAnsi="Arial" w:cs="Arial"/>
                <w:sz w:val="24"/>
                <w:szCs w:val="24"/>
              </w:rPr>
              <w:t xml:space="preserve"> the learning op</w:t>
            </w:r>
            <w:r w:rsidR="00F86125">
              <w:rPr>
                <w:rFonts w:ascii="Arial" w:hAnsi="Arial" w:cs="Arial"/>
                <w:sz w:val="24"/>
                <w:szCs w:val="24"/>
              </w:rPr>
              <w:t>portunity is</w:t>
            </w:r>
            <w:r>
              <w:rPr>
                <w:rFonts w:ascii="Arial" w:hAnsi="Arial" w:cs="Arial"/>
                <w:sz w:val="24"/>
                <w:szCs w:val="24"/>
              </w:rPr>
              <w:t xml:space="preserve"> not </w:t>
            </w:r>
            <w:r w:rsidR="00F86125">
              <w:rPr>
                <w:rFonts w:ascii="Arial" w:hAnsi="Arial" w:cs="Arial"/>
                <w:sz w:val="24"/>
                <w:szCs w:val="24"/>
              </w:rPr>
              <w:t>m</w:t>
            </w:r>
            <w:r>
              <w:rPr>
                <w:rFonts w:ascii="Arial" w:hAnsi="Arial" w:cs="Arial"/>
                <w:sz w:val="24"/>
                <w:szCs w:val="24"/>
              </w:rPr>
              <w:t xml:space="preserve">ade fully accessible, disabled people may not be </w:t>
            </w:r>
            <w:r w:rsidR="00F86125">
              <w:rPr>
                <w:rFonts w:ascii="Arial" w:hAnsi="Arial" w:cs="Arial"/>
                <w:sz w:val="24"/>
                <w:szCs w:val="24"/>
              </w:rPr>
              <w:t>able</w:t>
            </w:r>
            <w:r>
              <w:rPr>
                <w:rFonts w:ascii="Arial" w:hAnsi="Arial" w:cs="Arial"/>
                <w:sz w:val="24"/>
                <w:szCs w:val="24"/>
              </w:rPr>
              <w:t xml:space="preserve"> to </w:t>
            </w:r>
            <w:r w:rsidR="00F86125">
              <w:rPr>
                <w:rFonts w:ascii="Arial" w:hAnsi="Arial" w:cs="Arial"/>
                <w:sz w:val="24"/>
                <w:szCs w:val="24"/>
              </w:rPr>
              <w:t>participate</w:t>
            </w:r>
            <w:r w:rsidR="00CB5558">
              <w:rPr>
                <w:rFonts w:ascii="Arial" w:hAnsi="Arial" w:cs="Arial"/>
                <w:sz w:val="24"/>
                <w:szCs w:val="24"/>
              </w:rPr>
              <w:t xml:space="preserve"> </w:t>
            </w:r>
          </w:p>
          <w:p w14:paraId="5D2F50E5" w14:textId="77777777" w:rsidR="00CB5558" w:rsidRPr="00422716" w:rsidRDefault="00CB5558" w:rsidP="0026197E">
            <w:pPr>
              <w:pStyle w:val="SDSHeading"/>
              <w:spacing w:before="120" w:after="120" w:line="20" w:lineRule="atLeast"/>
              <w:rPr>
                <w:b w:val="0"/>
                <w:color w:val="FF0000"/>
              </w:rPr>
            </w:pPr>
          </w:p>
        </w:tc>
        <w:tc>
          <w:tcPr>
            <w:tcW w:w="2410" w:type="dxa"/>
            <w:tcBorders>
              <w:bottom w:val="single" w:sz="4" w:space="0" w:color="404040" w:themeColor="text1" w:themeTint="BF"/>
            </w:tcBorders>
            <w:tcMar>
              <w:left w:w="57" w:type="dxa"/>
              <w:right w:w="57" w:type="dxa"/>
            </w:tcMar>
          </w:tcPr>
          <w:p w14:paraId="7B3F39FA" w14:textId="77777777" w:rsidR="00CB5558" w:rsidRPr="00ED6E07" w:rsidRDefault="00762818" w:rsidP="0026197E">
            <w:pPr>
              <w:pStyle w:val="SDSHeading"/>
              <w:spacing w:before="120" w:after="120" w:line="20" w:lineRule="atLeast"/>
              <w:rPr>
                <w:b w:val="0"/>
              </w:rPr>
            </w:pPr>
            <w:hyperlink r:id="rId14" w:history="1">
              <w:r w:rsidR="00CB5558" w:rsidRPr="00476CB9">
                <w:rPr>
                  <w:rStyle w:val="Hyperlink"/>
                  <w:b w:val="0"/>
                </w:rPr>
                <w:t>Equality Evidence Review</w:t>
              </w:r>
            </w:hyperlink>
          </w:p>
        </w:tc>
        <w:tc>
          <w:tcPr>
            <w:tcW w:w="3827" w:type="dxa"/>
            <w:tcBorders>
              <w:bottom w:val="single" w:sz="4" w:space="0" w:color="404040" w:themeColor="text1" w:themeTint="BF"/>
            </w:tcBorders>
            <w:tcMar>
              <w:left w:w="57" w:type="dxa"/>
              <w:right w:w="57" w:type="dxa"/>
            </w:tcMar>
          </w:tcPr>
          <w:p w14:paraId="43A03564" w14:textId="77777777" w:rsidR="00CB5558" w:rsidRDefault="00CB5558" w:rsidP="0026197E">
            <w:pPr>
              <w:pStyle w:val="SDSHeading"/>
              <w:rPr>
                <w:b w:val="0"/>
              </w:rPr>
            </w:pPr>
            <w:r>
              <w:rPr>
                <w:b w:val="0"/>
              </w:rPr>
              <w:t>Raising awareness with training providers of the different funding options available from SDS and other partners to help support disabled individuals</w:t>
            </w:r>
          </w:p>
          <w:p w14:paraId="742D03AF" w14:textId="77777777" w:rsidR="00CB5558" w:rsidRDefault="00CB5558" w:rsidP="0026197E">
            <w:pPr>
              <w:pStyle w:val="SDSHeading"/>
              <w:rPr>
                <w:b w:val="0"/>
              </w:rPr>
            </w:pPr>
          </w:p>
          <w:p w14:paraId="7DF33FEA" w14:textId="77777777" w:rsidR="00CB5558" w:rsidRDefault="00CB5558" w:rsidP="0026197E">
            <w:pPr>
              <w:pStyle w:val="SDSHeading"/>
              <w:rPr>
                <w:b w:val="0"/>
              </w:rPr>
            </w:pPr>
            <w:r>
              <w:rPr>
                <w:b w:val="0"/>
              </w:rPr>
              <w:t>Raising awareness with industry of the enhanced  funding options available from SDS for disabled individuals</w:t>
            </w:r>
          </w:p>
          <w:p w14:paraId="77E7F136" w14:textId="77777777" w:rsidR="00CB5558" w:rsidRPr="00ED6E07" w:rsidRDefault="00CB5558" w:rsidP="0026197E">
            <w:pPr>
              <w:pStyle w:val="SDSHeading"/>
              <w:spacing w:before="120" w:after="120" w:line="20" w:lineRule="atLeast"/>
              <w:rPr>
                <w:b w:val="0"/>
              </w:rPr>
            </w:pPr>
          </w:p>
        </w:tc>
        <w:tc>
          <w:tcPr>
            <w:tcW w:w="4678" w:type="dxa"/>
            <w:tcBorders>
              <w:bottom w:val="single" w:sz="4" w:space="0" w:color="404040" w:themeColor="text1" w:themeTint="BF"/>
            </w:tcBorders>
            <w:tcMar>
              <w:left w:w="57" w:type="dxa"/>
              <w:right w:w="57" w:type="dxa"/>
            </w:tcMar>
          </w:tcPr>
          <w:p w14:paraId="22A292DC" w14:textId="580F88D1" w:rsidR="003773FB" w:rsidRPr="003773FB" w:rsidRDefault="003773FB" w:rsidP="0026197E">
            <w:pPr>
              <w:pStyle w:val="SDSHeading"/>
              <w:numPr>
                <w:ilvl w:val="0"/>
                <w:numId w:val="9"/>
              </w:numPr>
              <w:spacing w:before="120" w:after="120" w:line="20" w:lineRule="atLeast"/>
              <w:rPr>
                <w:b w:val="0"/>
              </w:rPr>
            </w:pPr>
            <w:r>
              <w:rPr>
                <w:b w:val="0"/>
              </w:rPr>
              <w:t>Ensure any learning is fully accessible and complies with industry standards</w:t>
            </w:r>
          </w:p>
          <w:p w14:paraId="181D928A" w14:textId="1B40DE73" w:rsidR="00CB5558" w:rsidRPr="00833645" w:rsidRDefault="00CB5558" w:rsidP="0026197E">
            <w:pPr>
              <w:pStyle w:val="SDSHeading"/>
              <w:numPr>
                <w:ilvl w:val="0"/>
                <w:numId w:val="9"/>
              </w:numPr>
              <w:spacing w:before="120" w:after="120" w:line="20" w:lineRule="atLeast"/>
              <w:rPr>
                <w:b w:val="0"/>
              </w:rPr>
            </w:pPr>
            <w:r w:rsidRPr="005B4382">
              <w:rPr>
                <w:b w:val="0"/>
                <w:bCs w:val="0"/>
                <w:szCs w:val="24"/>
              </w:rPr>
              <w:t xml:space="preserve">Work with </w:t>
            </w:r>
            <w:r>
              <w:rPr>
                <w:b w:val="0"/>
                <w:bCs w:val="0"/>
                <w:szCs w:val="24"/>
              </w:rPr>
              <w:t>the SDS E</w:t>
            </w:r>
            <w:r w:rsidRPr="005B4382">
              <w:rPr>
                <w:b w:val="0"/>
                <w:bCs w:val="0"/>
                <w:szCs w:val="24"/>
              </w:rPr>
              <w:t xml:space="preserve">qualities </w:t>
            </w:r>
            <w:r>
              <w:rPr>
                <w:b w:val="0"/>
                <w:bCs w:val="0"/>
                <w:szCs w:val="24"/>
              </w:rPr>
              <w:t>T</w:t>
            </w:r>
            <w:r w:rsidRPr="005B4382">
              <w:rPr>
                <w:b w:val="0"/>
                <w:bCs w:val="0"/>
                <w:szCs w:val="24"/>
              </w:rPr>
              <w:t>eam to review language in application form and information sheet for programme to ensure there is no unconscious bias</w:t>
            </w:r>
          </w:p>
          <w:p w14:paraId="418B7D97" w14:textId="70B5FE0E" w:rsidR="00CB5558" w:rsidRDefault="00CB5558" w:rsidP="0026197E">
            <w:pPr>
              <w:pStyle w:val="SDSHeading"/>
              <w:numPr>
                <w:ilvl w:val="0"/>
                <w:numId w:val="9"/>
              </w:numPr>
              <w:spacing w:before="120" w:after="120" w:line="20" w:lineRule="atLeast"/>
              <w:rPr>
                <w:b w:val="0"/>
              </w:rPr>
            </w:pPr>
            <w:r>
              <w:rPr>
                <w:b w:val="0"/>
              </w:rPr>
              <w:t>Continued monitoring of D</w:t>
            </w:r>
            <w:r w:rsidR="00FD7788">
              <w:rPr>
                <w:b w:val="0"/>
              </w:rPr>
              <w:t xml:space="preserve">iversity </w:t>
            </w:r>
            <w:r>
              <w:rPr>
                <w:b w:val="0"/>
              </w:rPr>
              <w:t>&amp;</w:t>
            </w:r>
            <w:r w:rsidR="00FD7788">
              <w:rPr>
                <w:b w:val="0"/>
              </w:rPr>
              <w:t xml:space="preserve"> </w:t>
            </w:r>
            <w:r>
              <w:rPr>
                <w:b w:val="0"/>
              </w:rPr>
              <w:t>I</w:t>
            </w:r>
            <w:r w:rsidR="00FD7788">
              <w:rPr>
                <w:b w:val="0"/>
              </w:rPr>
              <w:t>nclusion (D&amp;I)</w:t>
            </w:r>
            <w:r>
              <w:rPr>
                <w:b w:val="0"/>
              </w:rPr>
              <w:t xml:space="preserve"> Data to ensure a representative % of disabled people are accessing the programme</w:t>
            </w:r>
          </w:p>
          <w:p w14:paraId="1F5DF24F" w14:textId="77777777" w:rsidR="00CB5558" w:rsidRDefault="00CB5558" w:rsidP="0026197E">
            <w:pPr>
              <w:pStyle w:val="SDSHeading"/>
              <w:numPr>
                <w:ilvl w:val="0"/>
                <w:numId w:val="9"/>
              </w:numPr>
              <w:spacing w:before="120" w:after="120" w:line="20" w:lineRule="atLeast"/>
              <w:rPr>
                <w:b w:val="0"/>
              </w:rPr>
            </w:pPr>
            <w:r w:rsidRPr="00A603FC">
              <w:rPr>
                <w:b w:val="0"/>
              </w:rPr>
              <w:t xml:space="preserve">Ensure that equality and diversity related discussions are covered </w:t>
            </w:r>
            <w:r w:rsidRPr="00A603FC">
              <w:rPr>
                <w:b w:val="0"/>
              </w:rPr>
              <w:lastRenderedPageBreak/>
              <w:t xml:space="preserve">during the </w:t>
            </w:r>
            <w:r>
              <w:rPr>
                <w:b w:val="0"/>
              </w:rPr>
              <w:t>Approved Suppliers</w:t>
            </w:r>
            <w:r w:rsidRPr="005E63B0">
              <w:rPr>
                <w:b w:val="0"/>
              </w:rPr>
              <w:t xml:space="preserve"> inception meeting </w:t>
            </w:r>
          </w:p>
          <w:p w14:paraId="72257C1D" w14:textId="722B7CAB" w:rsidR="00CB5558" w:rsidRPr="00F02F6E" w:rsidRDefault="00CB5558" w:rsidP="0026197E">
            <w:pPr>
              <w:pStyle w:val="SDSHeading"/>
              <w:numPr>
                <w:ilvl w:val="0"/>
                <w:numId w:val="9"/>
              </w:numPr>
              <w:spacing w:before="120" w:after="120" w:line="20" w:lineRule="atLeast"/>
              <w:rPr>
                <w:b w:val="0"/>
              </w:rPr>
            </w:pPr>
            <w:r>
              <w:rPr>
                <w:b w:val="0"/>
              </w:rPr>
              <w:t>Wor</w:t>
            </w:r>
            <w:r w:rsidRPr="00A603FC">
              <w:rPr>
                <w:b w:val="0"/>
              </w:rPr>
              <w:t>k with SDS Mar</w:t>
            </w:r>
            <w:r w:rsidR="00FD7788">
              <w:rPr>
                <w:b w:val="0"/>
              </w:rPr>
              <w:t xml:space="preserve">keting &amp; Communications </w:t>
            </w:r>
            <w:r w:rsidRPr="00A603FC">
              <w:rPr>
                <w:b w:val="0"/>
              </w:rPr>
              <w:t>to ensure that right messages are developed and communicated</w:t>
            </w:r>
            <w:r>
              <w:rPr>
                <w:b w:val="0"/>
              </w:rPr>
              <w:t>, including possibility of inclusive imagery, in an accessible format</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36A4036E" w14:textId="080B6CCB"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054278">
        <w:rPr>
          <w:rFonts w:ascii="Arial" w:eastAsia="Calibri" w:hAnsi="Arial" w:cs="Arial"/>
          <w:sz w:val="24"/>
          <w:szCs w:val="24"/>
          <w:lang w:val="en-US"/>
        </w:rPr>
        <w:t>This section looks at activity to address potential disadvantage faced by trans</w:t>
      </w:r>
      <w:r w:rsidR="005E0704">
        <w:rPr>
          <w:rFonts w:ascii="Arial" w:eastAsia="Calibri" w:hAnsi="Arial" w:cs="Arial"/>
          <w:sz w:val="24"/>
          <w:szCs w:val="24"/>
          <w:lang w:val="en-US"/>
        </w:rPr>
        <w:t xml:space="preserve"> </w:t>
      </w:r>
      <w:r w:rsidR="00054278">
        <w:rPr>
          <w:rFonts w:ascii="Arial" w:eastAsia="Calibri" w:hAnsi="Arial" w:cs="Arial"/>
          <w:sz w:val="24"/>
          <w:szCs w:val="24"/>
          <w:lang w:val="en-US"/>
        </w:rPr>
        <w:t xml:space="preserve">customers.  </w:t>
      </w:r>
      <w:r w:rsidR="00054278" w:rsidRPr="009019BE">
        <w:rPr>
          <w:rFonts w:ascii="Arial" w:eastAsia="Calibri" w:hAnsi="Arial" w:cs="Arial"/>
          <w:sz w:val="24"/>
          <w:szCs w:val="24"/>
        </w:rPr>
        <w:t xml:space="preserve">For </w:t>
      </w:r>
      <w:r w:rsidR="00054278">
        <w:rPr>
          <w:rFonts w:ascii="Arial" w:eastAsia="Calibri" w:hAnsi="Arial" w:cs="Arial"/>
          <w:sz w:val="24"/>
          <w:szCs w:val="24"/>
        </w:rPr>
        <w:t>the trans community</w:t>
      </w:r>
      <w:r w:rsidR="00054278" w:rsidRPr="009019BE">
        <w:rPr>
          <w:rFonts w:ascii="Arial" w:eastAsia="Calibri" w:hAnsi="Arial" w:cs="Arial"/>
          <w:sz w:val="24"/>
          <w:szCs w:val="24"/>
        </w:rPr>
        <w:t>, there is little data available on employment outcomes.  However, we know that trans people are less likely to be in employment than their peers.  The Scottish Government estimates that around 0.6-1% of the population is transgender</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113DA7">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A0A87">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Further activity required </w:t>
            </w:r>
          </w:p>
        </w:tc>
      </w:tr>
      <w:tr w:rsidR="0092701D" w:rsidRPr="00A16B84" w14:paraId="04FB6078" w14:textId="77777777" w:rsidTr="00113DA7">
        <w:tc>
          <w:tcPr>
            <w:tcW w:w="3681" w:type="dxa"/>
            <w:tcMar>
              <w:left w:w="57" w:type="dxa"/>
              <w:right w:w="57" w:type="dxa"/>
            </w:tcMar>
          </w:tcPr>
          <w:p w14:paraId="229FDE19" w14:textId="77777777" w:rsidR="0092701D" w:rsidRDefault="0092701D" w:rsidP="0026197E">
            <w:pPr>
              <w:pStyle w:val="NoSpacing"/>
              <w:rPr>
                <w:rFonts w:ascii="Arial" w:hAnsi="Arial" w:cs="Arial"/>
                <w:sz w:val="24"/>
                <w:szCs w:val="24"/>
              </w:rPr>
            </w:pPr>
            <w:r>
              <w:rPr>
                <w:rFonts w:ascii="Arial" w:hAnsi="Arial" w:cs="Arial"/>
                <w:sz w:val="24"/>
                <w:szCs w:val="24"/>
              </w:rPr>
              <w:t>If gender options not available on eligibility or application forms, may feel not included</w:t>
            </w:r>
          </w:p>
          <w:p w14:paraId="6A182884" w14:textId="77777777" w:rsidR="0092701D" w:rsidRPr="00B23439" w:rsidRDefault="0092701D" w:rsidP="0026197E">
            <w:pPr>
              <w:pStyle w:val="SDSHeading"/>
              <w:spacing w:before="120" w:after="120" w:line="20" w:lineRule="atLeast"/>
              <w:rPr>
                <w:b w:val="0"/>
              </w:rPr>
            </w:pPr>
          </w:p>
        </w:tc>
        <w:tc>
          <w:tcPr>
            <w:tcW w:w="2410" w:type="dxa"/>
            <w:tcMar>
              <w:left w:w="57" w:type="dxa"/>
              <w:right w:w="57" w:type="dxa"/>
            </w:tcMar>
          </w:tcPr>
          <w:p w14:paraId="3BD73C13" w14:textId="16CC4F67" w:rsidR="0092701D" w:rsidRPr="003E58A5" w:rsidRDefault="001F4A99" w:rsidP="0026197E">
            <w:pPr>
              <w:pStyle w:val="NoSpacing"/>
              <w:rPr>
                <w:rFonts w:ascii="Arial" w:hAnsi="Arial" w:cs="Arial"/>
                <w:bCs/>
                <w:sz w:val="24"/>
                <w:szCs w:val="24"/>
              </w:rPr>
            </w:pPr>
            <w:r>
              <w:t xml:space="preserve"> </w:t>
            </w:r>
            <w:hyperlink r:id="rId15" w:history="1">
              <w:r>
                <w:rPr>
                  <w:rStyle w:val="Hyperlink"/>
                  <w:rFonts w:asciiTheme="minorHAnsi" w:hAnsiTheme="minorHAnsi"/>
                  <w:sz w:val="22"/>
                </w:rPr>
                <w:t>Stonewall (2020) Shut Out</w:t>
              </w:r>
            </w:hyperlink>
            <w:r>
              <w:t xml:space="preserve">  </w:t>
            </w:r>
          </w:p>
        </w:tc>
        <w:tc>
          <w:tcPr>
            <w:tcW w:w="3827" w:type="dxa"/>
            <w:tcMar>
              <w:left w:w="57" w:type="dxa"/>
              <w:right w:w="57" w:type="dxa"/>
            </w:tcMar>
          </w:tcPr>
          <w:p w14:paraId="4B2882DD" w14:textId="0515BF3D" w:rsidR="0092701D" w:rsidRPr="00F02F6E" w:rsidRDefault="00D84F61" w:rsidP="0026197E">
            <w:pPr>
              <w:pStyle w:val="SDSHeading"/>
              <w:spacing w:before="120" w:after="120" w:line="20" w:lineRule="atLeast"/>
              <w:rPr>
                <w:b w:val="0"/>
              </w:rPr>
            </w:pPr>
            <w:r>
              <w:rPr>
                <w:b w:val="0"/>
              </w:rPr>
              <w:t>Equality monitoring in other programmes is in line with census data capture</w:t>
            </w:r>
          </w:p>
        </w:tc>
        <w:tc>
          <w:tcPr>
            <w:tcW w:w="4678" w:type="dxa"/>
            <w:tcMar>
              <w:left w:w="57" w:type="dxa"/>
              <w:right w:w="57" w:type="dxa"/>
            </w:tcMar>
          </w:tcPr>
          <w:p w14:paraId="6C312994" w14:textId="77777777" w:rsidR="0092701D" w:rsidRDefault="0092701D" w:rsidP="0026197E">
            <w:pPr>
              <w:pStyle w:val="SDSHeading"/>
              <w:numPr>
                <w:ilvl w:val="0"/>
                <w:numId w:val="10"/>
              </w:numPr>
              <w:spacing w:before="120" w:after="120" w:line="20" w:lineRule="atLeast"/>
              <w:rPr>
                <w:b w:val="0"/>
              </w:rPr>
            </w:pPr>
            <w:r>
              <w:rPr>
                <w:b w:val="0"/>
              </w:rPr>
              <w:t>Ensure inclusive monitoring forms (including “in another way”)</w:t>
            </w:r>
          </w:p>
          <w:p w14:paraId="3515160A" w14:textId="77777777" w:rsidR="0092701D" w:rsidRPr="00F02F6E" w:rsidRDefault="0092701D" w:rsidP="0026197E">
            <w:pPr>
              <w:pStyle w:val="SDSHeading"/>
              <w:spacing w:before="120" w:after="120" w:line="20" w:lineRule="atLeast"/>
              <w:rPr>
                <w:b w:val="0"/>
              </w:rPr>
            </w:pPr>
          </w:p>
        </w:tc>
      </w:tr>
      <w:tr w:rsidR="0092701D" w:rsidRPr="00A16B84" w14:paraId="2B7628CC" w14:textId="77777777" w:rsidTr="00113DA7">
        <w:tc>
          <w:tcPr>
            <w:tcW w:w="3681" w:type="dxa"/>
            <w:tcMar>
              <w:left w:w="57" w:type="dxa"/>
              <w:right w:w="57" w:type="dxa"/>
            </w:tcMar>
          </w:tcPr>
          <w:p w14:paraId="3AB07F1C" w14:textId="77777777" w:rsidR="0092701D" w:rsidRPr="00F02F6E" w:rsidRDefault="0092701D" w:rsidP="0026197E">
            <w:pPr>
              <w:pStyle w:val="SDSHeading"/>
              <w:spacing w:before="120" w:after="120" w:line="20" w:lineRule="atLeast"/>
              <w:rPr>
                <w:b w:val="0"/>
              </w:rPr>
            </w:pPr>
            <w:r>
              <w:rPr>
                <w:b w:val="0"/>
              </w:rPr>
              <w:t xml:space="preserve">If trainer is not aware of trans issues, trans people may feel not included </w:t>
            </w:r>
          </w:p>
        </w:tc>
        <w:tc>
          <w:tcPr>
            <w:tcW w:w="2410" w:type="dxa"/>
            <w:tcMar>
              <w:left w:w="57" w:type="dxa"/>
              <w:right w:w="57" w:type="dxa"/>
            </w:tcMar>
          </w:tcPr>
          <w:p w14:paraId="200932C2" w14:textId="63A6B2FE" w:rsidR="0092701D" w:rsidRPr="001F4A99" w:rsidRDefault="00762818" w:rsidP="0026197E">
            <w:pPr>
              <w:pStyle w:val="SDSHeading"/>
              <w:spacing w:before="120" w:after="120" w:line="20" w:lineRule="atLeast"/>
              <w:rPr>
                <w:rFonts w:cs="Arial"/>
                <w:b w:val="0"/>
                <w:bCs w:val="0"/>
                <w:szCs w:val="24"/>
              </w:rPr>
            </w:pPr>
            <w:hyperlink r:id="rId16" w:history="1">
              <w:r w:rsidR="001F4A99" w:rsidRPr="001F4A99">
                <w:rPr>
                  <w:rStyle w:val="Hyperlink"/>
                  <w:rFonts w:asciiTheme="minorHAnsi" w:hAnsiTheme="minorHAnsi"/>
                  <w:b w:val="0"/>
                  <w:bCs w:val="0"/>
                  <w:sz w:val="22"/>
                </w:rPr>
                <w:t>Stonewall (2020) Shut Out</w:t>
              </w:r>
            </w:hyperlink>
          </w:p>
        </w:tc>
        <w:tc>
          <w:tcPr>
            <w:tcW w:w="3827" w:type="dxa"/>
            <w:tcMar>
              <w:left w:w="57" w:type="dxa"/>
              <w:right w:w="57" w:type="dxa"/>
            </w:tcMar>
          </w:tcPr>
          <w:p w14:paraId="1BED114C" w14:textId="412528B9" w:rsidR="0092701D" w:rsidRPr="00F02F6E" w:rsidRDefault="00D84F61" w:rsidP="0026197E">
            <w:pPr>
              <w:pStyle w:val="SDSHeading"/>
              <w:spacing w:before="120" w:after="120" w:line="20" w:lineRule="atLeast"/>
              <w:rPr>
                <w:b w:val="0"/>
              </w:rPr>
            </w:pPr>
            <w:r>
              <w:rPr>
                <w:b w:val="0"/>
              </w:rPr>
              <w:t xml:space="preserve">Trans awareness training has been developed with the Scottish Trans Alliance </w:t>
            </w:r>
            <w:r w:rsidR="0092701D">
              <w:rPr>
                <w:b w:val="0"/>
              </w:rPr>
              <w:t>N/A</w:t>
            </w:r>
          </w:p>
        </w:tc>
        <w:tc>
          <w:tcPr>
            <w:tcW w:w="4678" w:type="dxa"/>
            <w:tcMar>
              <w:left w:w="57" w:type="dxa"/>
              <w:right w:w="57" w:type="dxa"/>
            </w:tcMar>
          </w:tcPr>
          <w:p w14:paraId="70BD5BC3" w14:textId="77777777" w:rsidR="0092701D" w:rsidRPr="00F02F6E" w:rsidRDefault="0092701D" w:rsidP="0026197E">
            <w:pPr>
              <w:pStyle w:val="SDSHeading"/>
              <w:spacing w:before="120" w:after="120" w:line="20" w:lineRule="atLeast"/>
              <w:rPr>
                <w:b w:val="0"/>
              </w:rPr>
            </w:pPr>
            <w:r>
              <w:rPr>
                <w:b w:val="0"/>
              </w:rPr>
              <w:t>Ensure trainer has done trans inclusive training and is aware of best practice in delivering to diverse groups.</w:t>
            </w:r>
          </w:p>
        </w:tc>
      </w:tr>
    </w:tbl>
    <w:p w14:paraId="624C1DC8" w14:textId="23A58658" w:rsidR="005D7AFA" w:rsidRDefault="005D7AFA" w:rsidP="00F92FB9">
      <w:pPr>
        <w:spacing w:after="200" w:line="276" w:lineRule="auto"/>
        <w:rPr>
          <w:rFonts w:ascii="Arial" w:eastAsia="Calibri" w:hAnsi="Arial" w:cs="Arial"/>
          <w:b/>
          <w:color w:val="006373"/>
          <w:sz w:val="28"/>
          <w:szCs w:val="24"/>
          <w:lang w:val="en-US"/>
        </w:rPr>
      </w:pPr>
    </w:p>
    <w:p w14:paraId="201FAC6C" w14:textId="7A266586" w:rsidR="00113DA7" w:rsidRDefault="00113DA7" w:rsidP="00F92FB9">
      <w:pPr>
        <w:spacing w:after="200" w:line="276" w:lineRule="auto"/>
        <w:rPr>
          <w:rFonts w:ascii="Arial" w:eastAsia="Calibri" w:hAnsi="Arial" w:cs="Arial"/>
          <w:b/>
          <w:color w:val="006373"/>
          <w:sz w:val="28"/>
          <w:szCs w:val="24"/>
          <w:lang w:val="en-US"/>
        </w:rPr>
      </w:pPr>
    </w:p>
    <w:p w14:paraId="2E11D206" w14:textId="77777777" w:rsidR="00113DA7" w:rsidRDefault="00113DA7"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Marriage and civil partnership</w:t>
      </w:r>
    </w:p>
    <w:p w14:paraId="3DBEA87B" w14:textId="77777777" w:rsidR="00C95B08" w:rsidRPr="00B25C93" w:rsidRDefault="00D1585A" w:rsidP="00C95B08">
      <w:pPr>
        <w:pStyle w:val="FootnoteText"/>
        <w:spacing w:after="0" w:line="240" w:lineRule="auto"/>
        <w:rPr>
          <w:rFonts w:ascii="Arial" w:hAnsi="Arial" w:cs="Arial"/>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95B08" w:rsidRPr="00B25C93">
        <w:rPr>
          <w:rStyle w:val="FootnoteReference"/>
          <w:rFonts w:ascii="Arial" w:hAnsi="Arial" w:cs="Arial"/>
        </w:rPr>
        <w:footnoteRef/>
      </w:r>
      <w:r w:rsidR="00C95B08" w:rsidRPr="00B25C93">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p w14:paraId="56523FF6" w14:textId="77777777" w:rsidR="00C95B08" w:rsidRDefault="00C95B08" w:rsidP="00C95B08">
      <w:pPr>
        <w:pStyle w:val="FootnoteText"/>
        <w:spacing w:after="0" w:line="240" w:lineRule="auto"/>
      </w:pPr>
      <w:r w:rsidRPr="00B25C93">
        <w:rPr>
          <w:rStyle w:val="FootnoteReference"/>
          <w:rFonts w:ascii="Arial" w:hAnsi="Arial" w:cs="Arial"/>
        </w:rPr>
        <w:footnoteRef/>
      </w:r>
      <w:r w:rsidRPr="00B25C93">
        <w:rPr>
          <w:rFonts w:ascii="Arial" w:hAnsi="Arial" w:cs="Arial"/>
        </w:rPr>
        <w:t xml:space="preserve"> SDS Equality Evidence Review 2019 and </w:t>
      </w:r>
      <w:hyperlink r:id="rId17" w:history="1">
        <w:r w:rsidRPr="00B25C93">
          <w:rPr>
            <w:rStyle w:val="Hyperlink"/>
            <w:rFonts w:cs="Arial"/>
            <w:b/>
            <w:sz w:val="20"/>
          </w:rPr>
          <w:t>Scottish Government Equality Evidence Finder</w:t>
        </w:r>
      </w:hyperlink>
    </w:p>
    <w:p w14:paraId="59986569" w14:textId="2C6CB2EF"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009337D0">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056EDB" w:rsidRPr="00A16B84" w14:paraId="000124D4" w14:textId="77777777" w:rsidTr="0026197E">
        <w:trPr>
          <w:trHeight w:val="701"/>
        </w:trPr>
        <w:tc>
          <w:tcPr>
            <w:tcW w:w="3681" w:type="dxa"/>
            <w:tcMar>
              <w:left w:w="57" w:type="dxa"/>
              <w:right w:w="57" w:type="dxa"/>
            </w:tcMar>
          </w:tcPr>
          <w:p w14:paraId="20E55D50" w14:textId="10D6BF40" w:rsidR="00056EDB" w:rsidRPr="00F02F6E" w:rsidRDefault="00056EDB" w:rsidP="0026197E">
            <w:pPr>
              <w:pStyle w:val="SDSHeading"/>
              <w:spacing w:before="120" w:after="120" w:line="20" w:lineRule="atLeast"/>
              <w:rPr>
                <w:b w:val="0"/>
              </w:rPr>
            </w:pPr>
            <w:r>
              <w:rPr>
                <w:b w:val="0"/>
              </w:rPr>
              <w:t>As far as we are aware no</w:t>
            </w:r>
            <w:r w:rsidRPr="00323003">
              <w:rPr>
                <w:b w:val="0"/>
              </w:rPr>
              <w:t xml:space="preserve"> data </w:t>
            </w:r>
            <w:r>
              <w:rPr>
                <w:b w:val="0"/>
              </w:rPr>
              <w:t>on marriage and civil partnership  is available i</w:t>
            </w:r>
            <w:r w:rsidRPr="00323003">
              <w:rPr>
                <w:b w:val="0"/>
              </w:rPr>
              <w:t>n current</w:t>
            </w:r>
            <w:r>
              <w:rPr>
                <w:b w:val="0"/>
              </w:rPr>
              <w:t xml:space="preserve"> the target </w:t>
            </w:r>
            <w:r w:rsidR="003E58A5">
              <w:rPr>
                <w:b w:val="0"/>
              </w:rPr>
              <w:t>audience</w:t>
            </w:r>
            <w:r>
              <w:rPr>
                <w:b w:val="0"/>
              </w:rPr>
              <w:t xml:space="preserve">. Therefore, it is not possible to fully assess whether individuals falling under this protected characteristic face any barriers or discrimination accessing the upskilling/reskilling Digital Skills. </w:t>
            </w:r>
          </w:p>
        </w:tc>
        <w:tc>
          <w:tcPr>
            <w:tcW w:w="2410" w:type="dxa"/>
            <w:tcMar>
              <w:left w:w="57" w:type="dxa"/>
              <w:right w:w="57" w:type="dxa"/>
            </w:tcMar>
          </w:tcPr>
          <w:p w14:paraId="1A397D10" w14:textId="77777777" w:rsidR="00056EDB" w:rsidRPr="00E23D1A" w:rsidRDefault="00056EDB" w:rsidP="0026197E">
            <w:pPr>
              <w:pStyle w:val="SDSHeading"/>
              <w:spacing w:before="120" w:after="120" w:line="20" w:lineRule="atLeast"/>
              <w:rPr>
                <w:b w:val="0"/>
                <w:color w:val="006373"/>
              </w:rPr>
            </w:pPr>
            <w:r>
              <w:rPr>
                <w:b w:val="0"/>
              </w:rPr>
              <w:t xml:space="preserve">No data is available </w:t>
            </w:r>
          </w:p>
        </w:tc>
        <w:tc>
          <w:tcPr>
            <w:tcW w:w="3827" w:type="dxa"/>
            <w:tcMar>
              <w:left w:w="57" w:type="dxa"/>
              <w:right w:w="57" w:type="dxa"/>
            </w:tcMar>
          </w:tcPr>
          <w:p w14:paraId="2A7F8EBA" w14:textId="77777777" w:rsidR="00056EDB" w:rsidRPr="00F02F6E" w:rsidRDefault="00056EDB" w:rsidP="0026197E">
            <w:pPr>
              <w:pStyle w:val="SDSHeading"/>
              <w:spacing w:before="120" w:after="120" w:line="20" w:lineRule="atLeast"/>
              <w:rPr>
                <w:b w:val="0"/>
              </w:rPr>
            </w:pPr>
            <w:r>
              <w:rPr>
                <w:b w:val="0"/>
              </w:rPr>
              <w:t xml:space="preserve">None to report </w:t>
            </w:r>
          </w:p>
        </w:tc>
        <w:tc>
          <w:tcPr>
            <w:tcW w:w="4678" w:type="dxa"/>
            <w:tcMar>
              <w:left w:w="57" w:type="dxa"/>
              <w:right w:w="57" w:type="dxa"/>
            </w:tcMar>
          </w:tcPr>
          <w:p w14:paraId="7A934D15" w14:textId="58FFCAD9" w:rsidR="00056EDB" w:rsidRPr="00F02F6E" w:rsidRDefault="000566E6" w:rsidP="0026197E">
            <w:pPr>
              <w:pStyle w:val="SDSHeading"/>
              <w:spacing w:before="120" w:after="120" w:line="20" w:lineRule="atLeast"/>
              <w:rPr>
                <w:b w:val="0"/>
              </w:rPr>
            </w:pPr>
            <w:r w:rsidRPr="00292AAD">
              <w:rPr>
                <w:b w:val="0"/>
              </w:rPr>
              <w:t xml:space="preserve">Ensure </w:t>
            </w:r>
            <w:r>
              <w:rPr>
                <w:b w:val="0"/>
              </w:rPr>
              <w:t xml:space="preserve">programme </w:t>
            </w:r>
            <w:r w:rsidRPr="00292AAD">
              <w:rPr>
                <w:b w:val="0"/>
              </w:rPr>
              <w:t xml:space="preserve">providers adhere to legal requirements </w:t>
            </w:r>
            <w:r>
              <w:rPr>
                <w:b w:val="0"/>
              </w:rPr>
              <w:t>and are prepared to monitor and report on delivery via evaluation.</w:t>
            </w:r>
          </w:p>
        </w:tc>
      </w:tr>
    </w:tbl>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7A97A6" w14:textId="11A66C77" w:rsidR="00DA619F" w:rsidRPr="00C42434" w:rsidRDefault="00D1585A" w:rsidP="00DA619F">
      <w:pPr>
        <w:rPr>
          <w:rFonts w:ascii="Arial" w:eastAsia="Calibri" w:hAnsi="Arial" w:cs="Arial"/>
          <w:bCs/>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A619F" w:rsidRPr="004E695F">
        <w:rPr>
          <w:rFonts w:ascii="Arial" w:hAnsi="Arial" w:cs="Arial"/>
          <w:sz w:val="24"/>
          <w:szCs w:val="24"/>
        </w:rPr>
        <w:t xml:space="preserve">As far as we are aware no data on pregnancy and maternity available in </w:t>
      </w:r>
      <w:r w:rsidR="00DA619F">
        <w:rPr>
          <w:rFonts w:ascii="Arial" w:hAnsi="Arial" w:cs="Arial"/>
          <w:bCs/>
          <w:sz w:val="24"/>
          <w:szCs w:val="24"/>
        </w:rPr>
        <w:t xml:space="preserve">digital roles across the </w:t>
      </w:r>
      <w:r w:rsidR="00DA619F" w:rsidRPr="00C42434">
        <w:rPr>
          <w:rFonts w:ascii="Arial" w:hAnsi="Arial" w:cs="Arial"/>
          <w:bCs/>
          <w:sz w:val="24"/>
          <w:szCs w:val="24"/>
        </w:rPr>
        <w:t>workforce.</w:t>
      </w:r>
      <w:r w:rsidR="00DA619F" w:rsidRPr="004E695F">
        <w:rPr>
          <w:rFonts w:ascii="Arial" w:hAnsi="Arial" w:cs="Arial"/>
          <w:b/>
          <w:sz w:val="24"/>
          <w:szCs w:val="24"/>
        </w:rPr>
        <w:t xml:space="preserve"> </w:t>
      </w:r>
      <w:r w:rsidR="00DA619F" w:rsidRPr="004E695F">
        <w:rPr>
          <w:rFonts w:ascii="Arial" w:hAnsi="Arial" w:cs="Arial"/>
          <w:sz w:val="24"/>
          <w:szCs w:val="24"/>
        </w:rPr>
        <w:t xml:space="preserve">Therefore, it is not possible to fully assess whether individuals falling under this protected characteristic face any barriers or discrimination in </w:t>
      </w:r>
      <w:r w:rsidR="00DA619F" w:rsidRPr="00C42434">
        <w:rPr>
          <w:rFonts w:ascii="Arial" w:hAnsi="Arial" w:cs="Arial"/>
          <w:bCs/>
          <w:sz w:val="24"/>
          <w:szCs w:val="24"/>
        </w:rPr>
        <w:t>accessing upskilling/reskilling as part of the Business Improvement Programme</w:t>
      </w:r>
      <w:r w:rsidR="00DA619F" w:rsidRPr="00C42434">
        <w:rPr>
          <w:rFonts w:ascii="Arial" w:eastAsia="Calibri" w:hAnsi="Arial" w:cs="Arial"/>
          <w:bCs/>
          <w:sz w:val="24"/>
          <w:szCs w:val="24"/>
        </w:rPr>
        <w:t xml:space="preserve">.  </w:t>
      </w:r>
      <w:r w:rsidR="00DA619F">
        <w:rPr>
          <w:rFonts w:ascii="Arial" w:eastAsia="Calibri" w:hAnsi="Arial" w:cs="Arial"/>
          <w:sz w:val="24"/>
          <w:szCs w:val="24"/>
        </w:rPr>
        <w:t>EHRC research suggests that pregnant women can face discrimination and bias in the workplace</w:t>
      </w:r>
    </w:p>
    <w:p w14:paraId="78CF39E8" w14:textId="1218BD62"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4764D2">
        <w:trPr>
          <w:trHeight w:val="648"/>
          <w:tblHeader/>
        </w:trPr>
        <w:tc>
          <w:tcPr>
            <w:tcW w:w="3681" w:type="dxa"/>
            <w:shd w:val="clear" w:color="auto" w:fill="006373"/>
            <w:tcMar>
              <w:top w:w="57" w:type="dxa"/>
            </w:tcMar>
          </w:tcPr>
          <w:p w14:paraId="40ED82A0"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69E8" w:rsidRPr="00A16B84" w14:paraId="2E648F5A" w14:textId="77777777" w:rsidTr="0026197E">
        <w:tc>
          <w:tcPr>
            <w:tcW w:w="3681" w:type="dxa"/>
          </w:tcPr>
          <w:p w14:paraId="7B64F7E1" w14:textId="691DBA6D" w:rsidR="00D169E8" w:rsidRPr="00B23439" w:rsidRDefault="00D169E8" w:rsidP="0026197E">
            <w:pPr>
              <w:pStyle w:val="SDSHeading"/>
              <w:spacing w:before="120" w:after="120" w:line="20" w:lineRule="atLeast"/>
              <w:rPr>
                <w:b w:val="0"/>
              </w:rPr>
            </w:pPr>
            <w:r>
              <w:rPr>
                <w:b w:val="0"/>
              </w:rPr>
              <w:t xml:space="preserve">Potential positive offer flexible delivery and location. Many of the interventions will be delivered online, so there will be </w:t>
            </w:r>
            <w:r>
              <w:rPr>
                <w:b w:val="0"/>
              </w:rPr>
              <w:lastRenderedPageBreak/>
              <w:t xml:space="preserve">the potential for engagement and opportunity to access the Digital </w:t>
            </w:r>
            <w:r w:rsidR="008F51BF">
              <w:rPr>
                <w:b w:val="0"/>
              </w:rPr>
              <w:t>Skills Pipeline</w:t>
            </w:r>
            <w:r>
              <w:rPr>
                <w:b w:val="0"/>
              </w:rPr>
              <w:t>.</w:t>
            </w:r>
          </w:p>
        </w:tc>
        <w:tc>
          <w:tcPr>
            <w:tcW w:w="2410" w:type="dxa"/>
          </w:tcPr>
          <w:p w14:paraId="6B867FFA" w14:textId="77777777" w:rsidR="00D169E8" w:rsidRPr="00E23D1A" w:rsidRDefault="00762818" w:rsidP="0026197E">
            <w:pPr>
              <w:pStyle w:val="SDSHeading"/>
              <w:spacing w:before="120" w:after="120" w:line="20" w:lineRule="atLeast"/>
              <w:rPr>
                <w:b w:val="0"/>
              </w:rPr>
            </w:pPr>
            <w:hyperlink r:id="rId18" w:history="1">
              <w:r w:rsidR="00D169E8">
                <w:rPr>
                  <w:rStyle w:val="Hyperlink"/>
                  <w:rFonts w:cstheme="minorBidi"/>
                  <w:szCs w:val="24"/>
                </w:rPr>
                <w:t xml:space="preserve">EHRC Pregnancy and Maternity </w:t>
              </w:r>
              <w:r w:rsidR="00D169E8">
                <w:rPr>
                  <w:rStyle w:val="Hyperlink"/>
                  <w:rFonts w:cstheme="minorBidi"/>
                  <w:szCs w:val="24"/>
                </w:rPr>
                <w:lastRenderedPageBreak/>
                <w:t>Discrimination Research</w:t>
              </w:r>
            </w:hyperlink>
          </w:p>
        </w:tc>
        <w:tc>
          <w:tcPr>
            <w:tcW w:w="3827" w:type="dxa"/>
          </w:tcPr>
          <w:p w14:paraId="21E882CC" w14:textId="77777777" w:rsidR="00D169E8" w:rsidRPr="00F02F6E" w:rsidRDefault="00D169E8" w:rsidP="0026197E">
            <w:pPr>
              <w:pStyle w:val="SDSHeading"/>
              <w:spacing w:before="120" w:after="120" w:line="20" w:lineRule="atLeast"/>
              <w:rPr>
                <w:b w:val="0"/>
              </w:rPr>
            </w:pPr>
            <w:r>
              <w:rPr>
                <w:b w:val="0"/>
              </w:rPr>
              <w:lastRenderedPageBreak/>
              <w:t>None</w:t>
            </w:r>
          </w:p>
        </w:tc>
        <w:tc>
          <w:tcPr>
            <w:tcW w:w="4678" w:type="dxa"/>
          </w:tcPr>
          <w:p w14:paraId="2329431C" w14:textId="77777777" w:rsidR="00D169E8" w:rsidRDefault="00D169E8" w:rsidP="0026197E">
            <w:pPr>
              <w:pStyle w:val="SDSHeading"/>
              <w:spacing w:before="120" w:after="120" w:line="20" w:lineRule="atLeast"/>
              <w:rPr>
                <w:b w:val="0"/>
              </w:rPr>
            </w:pPr>
            <w:r>
              <w:rPr>
                <w:b w:val="0"/>
              </w:rPr>
              <w:t>Potential to develop best practice guide and case studies from the Digital Skills pip</w:t>
            </w:r>
            <w:r w:rsidR="007A4E6C">
              <w:rPr>
                <w:b w:val="0"/>
              </w:rPr>
              <w:t>eline</w:t>
            </w:r>
            <w:r>
              <w:rPr>
                <w:b w:val="0"/>
              </w:rPr>
              <w:t xml:space="preserve"> to demonstrate flexible approach</w:t>
            </w:r>
          </w:p>
          <w:p w14:paraId="22763352" w14:textId="77777777" w:rsidR="007A4E6C" w:rsidRDefault="007A4E6C" w:rsidP="007A4E6C">
            <w:pPr>
              <w:pStyle w:val="SDSHeading"/>
              <w:spacing w:before="120" w:after="120" w:line="20" w:lineRule="atLeast"/>
              <w:rPr>
                <w:b w:val="0"/>
              </w:rPr>
            </w:pPr>
            <w:r>
              <w:rPr>
                <w:b w:val="0"/>
              </w:rPr>
              <w:lastRenderedPageBreak/>
              <w:t>Ensure appointed approved providers adhere to legal requirements but reinforcing on supplier briefing day.</w:t>
            </w:r>
          </w:p>
          <w:p w14:paraId="6FEE9204" w14:textId="0B4A328E" w:rsidR="007A4E6C" w:rsidRPr="00F02F6E" w:rsidRDefault="007A4E6C" w:rsidP="007A4E6C">
            <w:pPr>
              <w:pStyle w:val="SDSHeading"/>
              <w:spacing w:before="120" w:after="120" w:line="20" w:lineRule="atLeast"/>
              <w:rPr>
                <w:b w:val="0"/>
              </w:rPr>
            </w:pPr>
            <w:r>
              <w:rPr>
                <w:b w:val="0"/>
              </w:rPr>
              <w:t>Discretionary funding options to support on a case by case basis</w:t>
            </w: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Race</w:t>
      </w:r>
    </w:p>
    <w:p w14:paraId="1A27A302" w14:textId="69FEC37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979EB" w:rsidRPr="00F83F2D">
        <w:rPr>
          <w:rFonts w:ascii="Arial" w:hAnsi="Arial" w:cs="Arial"/>
          <w:sz w:val="24"/>
          <w:szCs w:val="24"/>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(also see EHRC 2018a)</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4764D2">
        <w:trPr>
          <w:trHeight w:val="648"/>
          <w:tblHeader/>
        </w:trPr>
        <w:tc>
          <w:tcPr>
            <w:tcW w:w="3681" w:type="dxa"/>
            <w:shd w:val="clear" w:color="auto" w:fill="006373"/>
            <w:tcMar>
              <w:top w:w="57" w:type="dxa"/>
            </w:tcMar>
          </w:tcPr>
          <w:p w14:paraId="7DA55459"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AA0F81" w:rsidRPr="00A16B84" w14:paraId="754C70F4" w14:textId="77777777" w:rsidTr="0026197E">
        <w:tc>
          <w:tcPr>
            <w:tcW w:w="3681" w:type="dxa"/>
          </w:tcPr>
          <w:p w14:paraId="262565CB" w14:textId="0FDBE893" w:rsidR="00AA0F81" w:rsidRPr="00403950" w:rsidRDefault="00306311" w:rsidP="0026197E">
            <w:pPr>
              <w:pStyle w:val="NoSpacing"/>
              <w:rPr>
                <w:bCs/>
              </w:rPr>
            </w:pPr>
            <w:r>
              <w:rPr>
                <w:rFonts w:ascii="Arial" w:hAnsi="Arial" w:cs="Arial"/>
                <w:bCs/>
                <w:sz w:val="24"/>
                <w:szCs w:val="24"/>
              </w:rPr>
              <w:t>BME individuals less likely to be in employment than some other protected groups. This fund would provide additional upskilling opportunity for an increasing sector.</w:t>
            </w:r>
          </w:p>
        </w:tc>
        <w:tc>
          <w:tcPr>
            <w:tcW w:w="2410" w:type="dxa"/>
          </w:tcPr>
          <w:p w14:paraId="03BEDED6" w14:textId="0ED883A2" w:rsidR="00AA0F81" w:rsidRPr="006143E8" w:rsidRDefault="00AA0F81" w:rsidP="0026197E">
            <w:pPr>
              <w:pStyle w:val="SDSHeading"/>
              <w:spacing w:before="120" w:after="120" w:line="20" w:lineRule="atLeast"/>
              <w:rPr>
                <w:b w:val="0"/>
                <w:bCs w:val="0"/>
              </w:rPr>
            </w:pPr>
            <w:r>
              <w:rPr>
                <w:b w:val="0"/>
                <w:bCs w:val="0"/>
              </w:rPr>
              <w:t>Whilst t</w:t>
            </w:r>
            <w:r w:rsidRPr="006143E8">
              <w:rPr>
                <w:b w:val="0"/>
                <w:bCs w:val="0"/>
              </w:rPr>
              <w:t>here is</w:t>
            </w:r>
            <w:r>
              <w:rPr>
                <w:b w:val="0"/>
                <w:bCs w:val="0"/>
              </w:rPr>
              <w:t xml:space="preserve"> no </w:t>
            </w:r>
            <w:r w:rsidRPr="006143E8">
              <w:rPr>
                <w:b w:val="0"/>
                <w:bCs w:val="0"/>
              </w:rPr>
              <w:t xml:space="preserve"> evidence </w:t>
            </w:r>
            <w:r>
              <w:rPr>
                <w:b w:val="0"/>
                <w:bCs w:val="0"/>
              </w:rPr>
              <w:t xml:space="preserve">from the technology sector of members of the workforce from </w:t>
            </w:r>
            <w:r w:rsidRPr="006143E8">
              <w:rPr>
                <w:b w:val="0"/>
                <w:bCs w:val="0"/>
              </w:rPr>
              <w:t xml:space="preserve"> those from Black, Asian, and Minority Ethnic (BAME) backgrounds</w:t>
            </w:r>
            <w:r>
              <w:rPr>
                <w:b w:val="0"/>
                <w:bCs w:val="0"/>
              </w:rPr>
              <w:t xml:space="preserve">, the </w:t>
            </w:r>
            <w:hyperlink r:id="rId19" w:history="1">
              <w:r w:rsidRPr="00476CB9">
                <w:rPr>
                  <w:rStyle w:val="Hyperlink"/>
                  <w:b w:val="0"/>
                  <w:bCs w:val="0"/>
                </w:rPr>
                <w:t>Equality Evidence Review</w:t>
              </w:r>
            </w:hyperlink>
            <w:r>
              <w:rPr>
                <w:b w:val="0"/>
                <w:bCs w:val="0"/>
              </w:rPr>
              <w:t xml:space="preserve"> shows B</w:t>
            </w:r>
            <w:r w:rsidR="008F51BF">
              <w:rPr>
                <w:b w:val="0"/>
                <w:bCs w:val="0"/>
              </w:rPr>
              <w:t>A</w:t>
            </w:r>
            <w:r>
              <w:rPr>
                <w:b w:val="0"/>
                <w:bCs w:val="0"/>
              </w:rPr>
              <w:t xml:space="preserve">ME disadvantaged in employment </w:t>
            </w:r>
            <w:r w:rsidRPr="006143E8">
              <w:rPr>
                <w:b w:val="0"/>
                <w:bCs w:val="0"/>
              </w:rPr>
              <w:t xml:space="preserve">. </w:t>
            </w:r>
          </w:p>
        </w:tc>
        <w:tc>
          <w:tcPr>
            <w:tcW w:w="3827" w:type="dxa"/>
          </w:tcPr>
          <w:p w14:paraId="4C777329" w14:textId="3485DF69" w:rsidR="00AA0F81" w:rsidRPr="003E58A5" w:rsidRDefault="00D84F61" w:rsidP="0026197E">
            <w:pPr>
              <w:pStyle w:val="SDSHeading"/>
              <w:spacing w:before="120" w:after="120" w:line="20" w:lineRule="atLeast"/>
              <w:rPr>
                <w:b w:val="0"/>
              </w:rPr>
            </w:pPr>
            <w:r>
              <w:rPr>
                <w:b w:val="0"/>
              </w:rPr>
              <w:t>Work with B</w:t>
            </w:r>
            <w:r w:rsidR="008F51BF">
              <w:rPr>
                <w:b w:val="0"/>
              </w:rPr>
              <w:t>A</w:t>
            </w:r>
            <w:r>
              <w:rPr>
                <w:b w:val="0"/>
              </w:rPr>
              <w:t>ME partners across other programmes in relation to comms and interventions</w:t>
            </w:r>
          </w:p>
        </w:tc>
        <w:tc>
          <w:tcPr>
            <w:tcW w:w="4678" w:type="dxa"/>
          </w:tcPr>
          <w:p w14:paraId="1D89C74F" w14:textId="06ED9DF6" w:rsidR="00AA0F81" w:rsidRDefault="00AA0F81" w:rsidP="0026197E">
            <w:pPr>
              <w:pStyle w:val="SDSHeading"/>
              <w:numPr>
                <w:ilvl w:val="0"/>
                <w:numId w:val="10"/>
              </w:numPr>
              <w:spacing w:before="120" w:after="120" w:line="20" w:lineRule="atLeast"/>
              <w:rPr>
                <w:b w:val="0"/>
              </w:rPr>
            </w:pPr>
            <w:r>
              <w:rPr>
                <w:b w:val="0"/>
              </w:rPr>
              <w:t xml:space="preserve">Approved Providers will develop appropriate Comms to engage with businesses and individuals to highlight opportunities. </w:t>
            </w:r>
          </w:p>
          <w:p w14:paraId="64D19186" w14:textId="6AE19E27" w:rsidR="003E58A5" w:rsidRDefault="003E58A5" w:rsidP="0026197E">
            <w:pPr>
              <w:pStyle w:val="SDSHeading"/>
              <w:numPr>
                <w:ilvl w:val="0"/>
                <w:numId w:val="10"/>
              </w:numPr>
              <w:spacing w:before="120" w:after="120" w:line="20" w:lineRule="atLeast"/>
              <w:rPr>
                <w:b w:val="0"/>
              </w:rPr>
            </w:pPr>
            <w:r>
              <w:rPr>
                <w:b w:val="0"/>
              </w:rPr>
              <w:t>Provider will engage with representative groups to ensure the opportunity is promoted as wide as possible</w:t>
            </w:r>
          </w:p>
          <w:p w14:paraId="49AFEC41" w14:textId="77777777" w:rsidR="00AA0F81" w:rsidRDefault="00AA0F81" w:rsidP="0026197E">
            <w:pPr>
              <w:pStyle w:val="SDSHeading"/>
              <w:numPr>
                <w:ilvl w:val="0"/>
                <w:numId w:val="10"/>
              </w:numPr>
              <w:spacing w:before="120" w:after="120" w:line="20" w:lineRule="atLeast"/>
              <w:rPr>
                <w:b w:val="0"/>
              </w:rPr>
            </w:pPr>
            <w:r>
              <w:rPr>
                <w:b w:val="0"/>
              </w:rPr>
              <w:t>Continue monitoring of D&amp;I data</w:t>
            </w:r>
          </w:p>
          <w:p w14:paraId="7D07492F" w14:textId="18399D71" w:rsidR="00AA0F81" w:rsidRPr="00250FDE" w:rsidRDefault="003E58A5" w:rsidP="0026197E">
            <w:pPr>
              <w:pStyle w:val="NoSpacing"/>
              <w:numPr>
                <w:ilvl w:val="0"/>
                <w:numId w:val="10"/>
              </w:numPr>
              <w:rPr>
                <w:rFonts w:ascii="Arial" w:hAnsi="Arial" w:cs="Arial"/>
                <w:sz w:val="24"/>
                <w:szCs w:val="24"/>
              </w:rPr>
            </w:pPr>
            <w:r>
              <w:rPr>
                <w:rFonts w:ascii="Arial" w:hAnsi="Arial" w:cs="Arial"/>
                <w:sz w:val="24"/>
                <w:szCs w:val="24"/>
              </w:rPr>
              <w:t>O</w:t>
            </w:r>
            <w:r w:rsidR="00AA0F81" w:rsidRPr="00250FDE">
              <w:rPr>
                <w:rFonts w:ascii="Arial" w:hAnsi="Arial" w:cs="Arial"/>
                <w:sz w:val="24"/>
                <w:szCs w:val="24"/>
              </w:rPr>
              <w:t>ffer additional support and mentoring for people who are more likely to lack networks and face greater discrimination in the labour market</w:t>
            </w:r>
            <w:r w:rsidR="00AA0F81">
              <w:rPr>
                <w:rFonts w:ascii="Arial" w:hAnsi="Arial" w:cs="Arial"/>
                <w:sz w:val="24"/>
                <w:szCs w:val="24"/>
              </w:rPr>
              <w:t>.</w:t>
            </w:r>
            <w:r w:rsidR="00AA0F81" w:rsidRPr="00250FDE">
              <w:rPr>
                <w:rFonts w:ascii="Arial" w:hAnsi="Arial" w:cs="Arial"/>
                <w:sz w:val="24"/>
                <w:szCs w:val="24"/>
              </w:rPr>
              <w:t xml:space="preserve"> </w:t>
            </w:r>
          </w:p>
          <w:p w14:paraId="1B8F8C88" w14:textId="77777777" w:rsidR="00AA0F81" w:rsidRPr="000478CB" w:rsidRDefault="00AA0F81" w:rsidP="0026197E">
            <w:pPr>
              <w:pStyle w:val="SDSHeading"/>
              <w:spacing w:before="120" w:after="120" w:line="20" w:lineRule="atLeast"/>
              <w:ind w:left="360"/>
              <w:rPr>
                <w:b w:val="0"/>
              </w:rPr>
            </w:pPr>
          </w:p>
          <w:p w14:paraId="6D0F0C01" w14:textId="77777777" w:rsidR="00AA0F81" w:rsidRPr="00F02F6E" w:rsidRDefault="00AA0F81" w:rsidP="0026197E">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Religion or belief</w:t>
      </w:r>
    </w:p>
    <w:p w14:paraId="2BA92049" w14:textId="27D961FB"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1654D">
        <w:rPr>
          <w:rFonts w:ascii="Arial" w:eastAsia="Calibri" w:hAnsi="Arial" w:cs="Arial"/>
          <w:sz w:val="24"/>
          <w:szCs w:val="24"/>
        </w:rPr>
        <w:t>There is little evidence in terms of education and employment outcomes from those from different faiths, although research shows that Muslims (particularly Muslim women) tend to have poorer employment outcomes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4764D2">
        <w:trPr>
          <w:trHeight w:val="648"/>
          <w:tblHeader/>
        </w:trPr>
        <w:tc>
          <w:tcPr>
            <w:tcW w:w="3681" w:type="dxa"/>
            <w:shd w:val="clear" w:color="auto" w:fill="006373"/>
            <w:tcMar>
              <w:top w:w="57" w:type="dxa"/>
            </w:tcMar>
          </w:tcPr>
          <w:p w14:paraId="12485322" w14:textId="77777777" w:rsidR="00D1585A" w:rsidRPr="00472F02" w:rsidRDefault="00D1585A" w:rsidP="004764D2">
            <w:pPr>
              <w:pStyle w:val="SDSHeading"/>
              <w:spacing w:after="120"/>
              <w:rPr>
                <w:color w:val="FFFFFF" w:themeColor="background1"/>
              </w:rPr>
            </w:pPr>
            <w:bookmarkStart w:id="0" w:name="_Hlk85104577"/>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95342A" w:rsidRPr="00A16B84" w14:paraId="553A579F" w14:textId="77777777" w:rsidTr="0026197E">
        <w:tc>
          <w:tcPr>
            <w:tcW w:w="3681" w:type="dxa"/>
          </w:tcPr>
          <w:p w14:paraId="2AF0BCCC" w14:textId="77777777" w:rsidR="0095342A" w:rsidRPr="00B23439" w:rsidRDefault="0095342A" w:rsidP="0026197E">
            <w:pPr>
              <w:pStyle w:val="SDSHeading"/>
              <w:spacing w:before="120" w:after="120" w:line="20" w:lineRule="atLeast"/>
              <w:rPr>
                <w:b w:val="0"/>
              </w:rPr>
            </w:pPr>
            <w:r>
              <w:rPr>
                <w:b w:val="0"/>
              </w:rPr>
              <w:t>Online learning will ensure that learning is flexible enabling individuals to access at a time that’s suits them, allowing for different cultural aspects</w:t>
            </w:r>
          </w:p>
        </w:tc>
        <w:tc>
          <w:tcPr>
            <w:tcW w:w="2410" w:type="dxa"/>
          </w:tcPr>
          <w:p w14:paraId="7087B0C1" w14:textId="77777777" w:rsidR="0095342A" w:rsidRPr="00E23D1A" w:rsidRDefault="00762818" w:rsidP="0026197E">
            <w:pPr>
              <w:pStyle w:val="SDSHeading"/>
              <w:spacing w:before="120" w:after="120" w:line="20" w:lineRule="atLeast"/>
              <w:rPr>
                <w:b w:val="0"/>
              </w:rPr>
            </w:pPr>
            <w:hyperlink r:id="rId20" w:history="1">
              <w:r w:rsidR="0095342A" w:rsidRPr="00476CB9">
                <w:rPr>
                  <w:rStyle w:val="Hyperlink"/>
                  <w:b w:val="0"/>
                </w:rPr>
                <w:t>Equality Evidence Review</w:t>
              </w:r>
            </w:hyperlink>
          </w:p>
        </w:tc>
        <w:tc>
          <w:tcPr>
            <w:tcW w:w="3827" w:type="dxa"/>
          </w:tcPr>
          <w:p w14:paraId="2094C35E" w14:textId="320A3B8F" w:rsidR="0095342A" w:rsidRPr="00F02F6E" w:rsidRDefault="003E58A5" w:rsidP="0026197E">
            <w:pPr>
              <w:pStyle w:val="SDSHeading"/>
              <w:spacing w:before="120" w:after="120" w:line="20" w:lineRule="atLeast"/>
              <w:rPr>
                <w:b w:val="0"/>
              </w:rPr>
            </w:pPr>
            <w:r>
              <w:rPr>
                <w:b w:val="0"/>
              </w:rPr>
              <w:t xml:space="preserve">None </w:t>
            </w:r>
          </w:p>
        </w:tc>
        <w:tc>
          <w:tcPr>
            <w:tcW w:w="4678" w:type="dxa"/>
          </w:tcPr>
          <w:p w14:paraId="0617AC51" w14:textId="77777777" w:rsidR="0095342A" w:rsidRPr="00F02F6E" w:rsidRDefault="0095342A" w:rsidP="0026197E">
            <w:pPr>
              <w:pStyle w:val="SDSHeading"/>
              <w:spacing w:before="120" w:after="120" w:line="20" w:lineRule="atLeast"/>
              <w:rPr>
                <w:b w:val="0"/>
              </w:rPr>
            </w:pPr>
          </w:p>
        </w:tc>
      </w:tr>
    </w:tbl>
    <w:bookmarkEnd w:id="0"/>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0599D6EA" w:rsidR="00D1585A"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D2198">
        <w:rPr>
          <w:rFonts w:ascii="Arial" w:eastAsia="Calibri" w:hAnsi="Arial" w:cs="Arial"/>
          <w:sz w:val="24"/>
          <w:szCs w:val="24"/>
          <w:lang w:val="en-US"/>
        </w:rPr>
        <w:t>Digital roles are disproportionally based in male dominated industries including energy.  Many women face additional barriers to accessing training opportunities as a result of inflexible working patterns childcare responsibilities and childcare responsibilities.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113DA7" w:rsidRPr="00A16B84" w14:paraId="490059EE" w14:textId="77777777" w:rsidTr="00660300">
        <w:trPr>
          <w:trHeight w:val="648"/>
          <w:tblHeader/>
        </w:trPr>
        <w:tc>
          <w:tcPr>
            <w:tcW w:w="3681" w:type="dxa"/>
            <w:shd w:val="clear" w:color="auto" w:fill="006373"/>
            <w:tcMar>
              <w:top w:w="57" w:type="dxa"/>
            </w:tcMar>
          </w:tcPr>
          <w:p w14:paraId="04529AF7" w14:textId="77777777" w:rsidR="00113DA7" w:rsidRPr="00472F02" w:rsidRDefault="00113DA7" w:rsidP="0066030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00FB830" w14:textId="77777777" w:rsidR="00113DA7" w:rsidRPr="00472F02" w:rsidRDefault="00113DA7" w:rsidP="0066030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261A0E10" w14:textId="77777777" w:rsidR="00113DA7" w:rsidRPr="00472F02" w:rsidRDefault="00113DA7" w:rsidP="0066030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9A42C5" w14:textId="77777777" w:rsidR="00113DA7" w:rsidRPr="00472F02" w:rsidRDefault="00113DA7" w:rsidP="00660300">
            <w:pPr>
              <w:pStyle w:val="SDSHeading"/>
              <w:spacing w:after="120"/>
              <w:rPr>
                <w:color w:val="FFFFFF" w:themeColor="background1"/>
              </w:rPr>
            </w:pPr>
            <w:r w:rsidRPr="00472F02">
              <w:rPr>
                <w:color w:val="FFFFFF" w:themeColor="background1"/>
              </w:rPr>
              <w:t xml:space="preserve">Further activity required </w:t>
            </w:r>
          </w:p>
        </w:tc>
      </w:tr>
      <w:tr w:rsidR="00113DA7" w:rsidRPr="00A16B84" w14:paraId="5BD2EEA1" w14:textId="77777777" w:rsidTr="00660300">
        <w:tc>
          <w:tcPr>
            <w:tcW w:w="3681" w:type="dxa"/>
          </w:tcPr>
          <w:p w14:paraId="2D86DB8D" w14:textId="25A180A4" w:rsidR="00113DA7" w:rsidRPr="00B23439" w:rsidRDefault="00113DA7" w:rsidP="00113DA7">
            <w:pPr>
              <w:pStyle w:val="SDSHeading"/>
              <w:spacing w:before="120" w:after="120" w:line="20" w:lineRule="atLeast"/>
              <w:rPr>
                <w:b w:val="0"/>
              </w:rPr>
            </w:pPr>
            <w:r>
              <w:rPr>
                <w:b w:val="0"/>
              </w:rPr>
              <w:t>Whilst achieving higher levels of qualification on some digital related subjects, women are less likely to go into STEM areas of employment, with gender segregation across the digital sector</w:t>
            </w:r>
          </w:p>
        </w:tc>
        <w:tc>
          <w:tcPr>
            <w:tcW w:w="2410" w:type="dxa"/>
          </w:tcPr>
          <w:p w14:paraId="29A16CC4" w14:textId="3FD0CDB9" w:rsidR="00113DA7" w:rsidRPr="00E23D1A" w:rsidRDefault="00113DA7" w:rsidP="00113DA7">
            <w:pPr>
              <w:pStyle w:val="SDSHeading"/>
              <w:spacing w:before="120" w:after="120" w:line="20" w:lineRule="atLeast"/>
              <w:rPr>
                <w:b w:val="0"/>
              </w:rPr>
            </w:pPr>
            <w:r>
              <w:rPr>
                <w:b w:val="0"/>
                <w:bCs w:val="0"/>
              </w:rPr>
              <w:t xml:space="preserve">Digital Tech – Tackling the Technology Gender Gap </w:t>
            </w:r>
          </w:p>
        </w:tc>
        <w:tc>
          <w:tcPr>
            <w:tcW w:w="3827" w:type="dxa"/>
          </w:tcPr>
          <w:p w14:paraId="48710A3F" w14:textId="77777777" w:rsidR="00113DA7" w:rsidRDefault="00113DA7" w:rsidP="00113DA7">
            <w:pPr>
              <w:pStyle w:val="SDSHeading"/>
              <w:numPr>
                <w:ilvl w:val="0"/>
                <w:numId w:val="13"/>
              </w:numPr>
              <w:spacing w:before="120" w:after="120" w:line="20" w:lineRule="atLeast"/>
              <w:rPr>
                <w:b w:val="0"/>
              </w:rPr>
            </w:pPr>
            <w:r>
              <w:rPr>
                <w:b w:val="0"/>
              </w:rPr>
              <w:t>SDS lead workstream Tackling The Technology Gender Gap (TTTGG) and action plan implemented each year</w:t>
            </w:r>
          </w:p>
          <w:p w14:paraId="33A2FD23" w14:textId="77777777" w:rsidR="00113DA7" w:rsidRDefault="00113DA7" w:rsidP="00113DA7">
            <w:pPr>
              <w:pStyle w:val="SDSHeading"/>
              <w:spacing w:before="120" w:after="120" w:line="20" w:lineRule="atLeast"/>
              <w:rPr>
                <w:b w:val="0"/>
              </w:rPr>
            </w:pPr>
            <w:r w:rsidRPr="00FD0558">
              <w:rPr>
                <w:b w:val="0"/>
                <w:bCs w:val="0"/>
              </w:rPr>
              <w:t xml:space="preserve">• </w:t>
            </w:r>
            <w:r>
              <w:rPr>
                <w:b w:val="0"/>
              </w:rPr>
              <w:t>The Digital programme has had a particular focus on Tackling the Technology Gender Gap.  Initial gap only18% female in digital roles through the focus of this working the most recent figures from Scottish Government have shown that it is now 26%</w:t>
            </w:r>
          </w:p>
          <w:p w14:paraId="30D66C0D" w14:textId="3133E219" w:rsidR="00113DA7" w:rsidRPr="00F02F6E" w:rsidRDefault="00113DA7" w:rsidP="00113DA7">
            <w:pPr>
              <w:pStyle w:val="SDSHeading"/>
              <w:spacing w:before="120" w:after="120" w:line="20" w:lineRule="atLeast"/>
              <w:rPr>
                <w:b w:val="0"/>
              </w:rPr>
            </w:pPr>
          </w:p>
        </w:tc>
        <w:tc>
          <w:tcPr>
            <w:tcW w:w="4678" w:type="dxa"/>
          </w:tcPr>
          <w:p w14:paraId="0ED5F0EC" w14:textId="77777777" w:rsidR="00113DA7" w:rsidRDefault="00113DA7" w:rsidP="00113DA7">
            <w:pPr>
              <w:pStyle w:val="SDSHeading"/>
              <w:numPr>
                <w:ilvl w:val="0"/>
                <w:numId w:val="10"/>
              </w:numPr>
              <w:spacing w:before="120" w:after="120" w:line="20" w:lineRule="atLeast"/>
              <w:rPr>
                <w:b w:val="0"/>
              </w:rPr>
            </w:pPr>
            <w:r>
              <w:rPr>
                <w:b w:val="0"/>
              </w:rPr>
              <w:lastRenderedPageBreak/>
              <w:t xml:space="preserve">SDS Equalities Team to offer Liaise with TTTTG workstream to provide examples of best practice to be adopted </w:t>
            </w:r>
          </w:p>
          <w:p w14:paraId="408852F8" w14:textId="77777777" w:rsidR="00113DA7" w:rsidRDefault="00113DA7" w:rsidP="00113DA7">
            <w:pPr>
              <w:pStyle w:val="SDSHeading"/>
              <w:numPr>
                <w:ilvl w:val="0"/>
                <w:numId w:val="10"/>
              </w:numPr>
              <w:spacing w:before="120" w:after="120" w:line="20" w:lineRule="atLeast"/>
              <w:rPr>
                <w:b w:val="0"/>
              </w:rPr>
            </w:pPr>
            <w:r>
              <w:rPr>
                <w:b w:val="0"/>
              </w:rPr>
              <w:t xml:space="preserve">Appropriate Comms will be developed by Approved providers and SDS to engage with businesses and individuals to highlight opportunities. </w:t>
            </w:r>
          </w:p>
          <w:p w14:paraId="48E3C7A3" w14:textId="77777777" w:rsidR="00113DA7" w:rsidRDefault="00113DA7" w:rsidP="00113DA7">
            <w:pPr>
              <w:pStyle w:val="SDSHeading"/>
              <w:numPr>
                <w:ilvl w:val="0"/>
                <w:numId w:val="10"/>
              </w:numPr>
              <w:spacing w:before="120" w:after="120" w:line="20" w:lineRule="atLeast"/>
              <w:rPr>
                <w:b w:val="0"/>
              </w:rPr>
            </w:pPr>
            <w:r>
              <w:rPr>
                <w:b w:val="0"/>
              </w:rPr>
              <w:t>Continued focus on promoting and engagement with women to increase sectoral representation</w:t>
            </w:r>
          </w:p>
          <w:p w14:paraId="656EA65C" w14:textId="77777777" w:rsidR="00113DA7" w:rsidRDefault="00113DA7" w:rsidP="00113DA7">
            <w:pPr>
              <w:pStyle w:val="SDSHeading"/>
              <w:numPr>
                <w:ilvl w:val="0"/>
                <w:numId w:val="10"/>
              </w:numPr>
              <w:spacing w:before="120" w:after="120" w:line="20" w:lineRule="atLeast"/>
              <w:rPr>
                <w:b w:val="0"/>
              </w:rPr>
            </w:pPr>
            <w:r>
              <w:rPr>
                <w:b w:val="0"/>
              </w:rPr>
              <w:t>Continue monitoring of D&amp;I data</w:t>
            </w:r>
          </w:p>
          <w:p w14:paraId="2CFC0830" w14:textId="60F0F1B5" w:rsidR="00113DA7" w:rsidRPr="00F02F6E" w:rsidRDefault="00113DA7" w:rsidP="00113DA7">
            <w:pPr>
              <w:pStyle w:val="SDSHeading"/>
              <w:spacing w:before="120" w:after="120" w:line="20" w:lineRule="atLeast"/>
              <w:rPr>
                <w:b w:val="0"/>
              </w:rPr>
            </w:pPr>
            <w:r>
              <w:rPr>
                <w:b w:val="0"/>
              </w:rPr>
              <w:lastRenderedPageBreak/>
              <w:t xml:space="preserve">Ensure that equality and diversity related discussions are covered during the Approved providers    inception meeting </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5072A35D" w14:textId="78FDE28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357C40">
        <w:rPr>
          <w:rFonts w:ascii="Arial" w:eastAsia="Calibri" w:hAnsi="Arial" w:cs="Arial"/>
          <w:sz w:val="24"/>
          <w:szCs w:val="24"/>
        </w:rPr>
        <w:t>Data on Lesbian, Gay and Bisexual (LGB) groups in terms of employment outcomes is limited.  The Scottish Government estimates the LGB population as 2.4%</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4764D2">
        <w:trPr>
          <w:trHeight w:val="648"/>
          <w:tblHeader/>
        </w:trPr>
        <w:tc>
          <w:tcPr>
            <w:tcW w:w="3681" w:type="dxa"/>
            <w:shd w:val="clear" w:color="auto" w:fill="006373"/>
            <w:tcMar>
              <w:top w:w="57" w:type="dxa"/>
            </w:tcMar>
          </w:tcPr>
          <w:p w14:paraId="58F203C5"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3E58A5" w:rsidRPr="00A16B84" w14:paraId="4D973A45" w14:textId="77777777" w:rsidTr="004764D2">
        <w:tc>
          <w:tcPr>
            <w:tcW w:w="3681" w:type="dxa"/>
          </w:tcPr>
          <w:p w14:paraId="3B6E701C" w14:textId="1AC4C85D" w:rsidR="003E58A5" w:rsidRDefault="003E58A5" w:rsidP="003E58A5">
            <w:pPr>
              <w:pStyle w:val="NoSpacing"/>
              <w:rPr>
                <w:rFonts w:ascii="Arial" w:hAnsi="Arial" w:cs="Arial"/>
                <w:sz w:val="24"/>
                <w:szCs w:val="24"/>
              </w:rPr>
            </w:pPr>
            <w:r>
              <w:rPr>
                <w:rFonts w:ascii="Arial" w:hAnsi="Arial" w:cs="Arial"/>
                <w:sz w:val="24"/>
                <w:szCs w:val="24"/>
              </w:rPr>
              <w:t xml:space="preserve">If gender options not available on eligibility or application forms, </w:t>
            </w:r>
            <w:r w:rsidR="008D3B12">
              <w:rPr>
                <w:rFonts w:ascii="Arial" w:hAnsi="Arial" w:cs="Arial"/>
                <w:sz w:val="24"/>
                <w:szCs w:val="24"/>
              </w:rPr>
              <w:t>the programme may not feel inclusive, deterring individuals from applying</w:t>
            </w:r>
          </w:p>
          <w:p w14:paraId="5B630333" w14:textId="145C7E85" w:rsidR="003E58A5" w:rsidRPr="00B23439" w:rsidRDefault="003E58A5" w:rsidP="003E58A5">
            <w:pPr>
              <w:pStyle w:val="SDSHeading"/>
              <w:spacing w:before="120" w:after="120" w:line="20" w:lineRule="atLeast"/>
              <w:rPr>
                <w:b w:val="0"/>
              </w:rPr>
            </w:pPr>
          </w:p>
        </w:tc>
        <w:tc>
          <w:tcPr>
            <w:tcW w:w="2410" w:type="dxa"/>
          </w:tcPr>
          <w:p w14:paraId="007E9E5D" w14:textId="763A2CFC" w:rsidR="003E58A5" w:rsidRPr="00E23D1A" w:rsidRDefault="00762818" w:rsidP="003E58A5">
            <w:pPr>
              <w:pStyle w:val="SDSHeading"/>
              <w:spacing w:before="120" w:after="120" w:line="20" w:lineRule="atLeast"/>
              <w:rPr>
                <w:b w:val="0"/>
              </w:rPr>
            </w:pPr>
            <w:hyperlink r:id="rId21" w:history="1">
              <w:r w:rsidR="000566E6">
                <w:rPr>
                  <w:rStyle w:val="Hyperlink"/>
                  <w:rFonts w:asciiTheme="minorHAnsi" w:hAnsiTheme="minorHAnsi"/>
                  <w:sz w:val="22"/>
                </w:rPr>
                <w:t>Stonewall (2020) Shut Out</w:t>
              </w:r>
            </w:hyperlink>
            <w:r w:rsidR="000566E6">
              <w:t xml:space="preserve">  </w:t>
            </w:r>
          </w:p>
        </w:tc>
        <w:tc>
          <w:tcPr>
            <w:tcW w:w="3827" w:type="dxa"/>
          </w:tcPr>
          <w:p w14:paraId="3ED3A113" w14:textId="77777777" w:rsidR="003E58A5" w:rsidRDefault="003E58A5" w:rsidP="003E58A5">
            <w:pPr>
              <w:pStyle w:val="SDSHeading"/>
              <w:spacing w:before="120" w:after="120" w:line="20" w:lineRule="atLeast"/>
              <w:rPr>
                <w:b w:val="0"/>
              </w:rPr>
            </w:pPr>
            <w:r>
              <w:rPr>
                <w:b w:val="0"/>
              </w:rPr>
              <w:t>Some data collection at a UK Level, but little at Scottish Level so far</w:t>
            </w:r>
          </w:p>
          <w:p w14:paraId="57D71A63" w14:textId="77777777" w:rsidR="003E58A5" w:rsidRDefault="003E58A5" w:rsidP="003E58A5">
            <w:pPr>
              <w:pStyle w:val="SDSHeading"/>
              <w:spacing w:before="120" w:after="120" w:line="20" w:lineRule="atLeast"/>
              <w:rPr>
                <w:b w:val="0"/>
              </w:rPr>
            </w:pPr>
          </w:p>
          <w:p w14:paraId="148DF94E" w14:textId="721C228D" w:rsidR="003E58A5" w:rsidRPr="00F02F6E" w:rsidRDefault="003E58A5" w:rsidP="003E58A5">
            <w:pPr>
              <w:pStyle w:val="SDSHeading"/>
              <w:spacing w:before="120" w:after="120" w:line="20" w:lineRule="atLeast"/>
              <w:rPr>
                <w:b w:val="0"/>
              </w:rPr>
            </w:pPr>
            <w:r>
              <w:rPr>
                <w:b w:val="0"/>
              </w:rPr>
              <w:t xml:space="preserve">Sector equality advice and guidance on recruitment and selection for this and other areas is available via TUs, Trade Bodies and </w:t>
            </w:r>
            <w:proofErr w:type="spellStart"/>
            <w:r>
              <w:rPr>
                <w:b w:val="0"/>
              </w:rPr>
              <w:t>Associtaions</w:t>
            </w:r>
            <w:proofErr w:type="spellEnd"/>
            <w:r>
              <w:rPr>
                <w:b w:val="0"/>
              </w:rPr>
              <w:t>, Advocacy Groups</w:t>
            </w:r>
          </w:p>
        </w:tc>
        <w:tc>
          <w:tcPr>
            <w:tcW w:w="4678" w:type="dxa"/>
          </w:tcPr>
          <w:p w14:paraId="40525086" w14:textId="77777777" w:rsidR="003E58A5" w:rsidRDefault="003E58A5" w:rsidP="003E58A5">
            <w:pPr>
              <w:pStyle w:val="SDSHeading"/>
              <w:spacing w:before="120" w:after="120" w:line="20" w:lineRule="atLeast"/>
              <w:rPr>
                <w:b w:val="0"/>
              </w:rPr>
            </w:pPr>
            <w:r w:rsidRPr="00832411">
              <w:rPr>
                <w:b w:val="0"/>
              </w:rPr>
              <w:t>Ensure programme providers adhere to legal requirements and are prepared to monitor and report on delivery via evaluation</w:t>
            </w:r>
            <w:r>
              <w:rPr>
                <w:b w:val="0"/>
              </w:rPr>
              <w:t>.</w:t>
            </w:r>
          </w:p>
          <w:p w14:paraId="30E7F6A7" w14:textId="77777777" w:rsidR="003E58A5" w:rsidRDefault="003E58A5" w:rsidP="003E58A5">
            <w:pPr>
              <w:pStyle w:val="SDSHeading"/>
              <w:spacing w:before="120" w:after="120" w:line="20" w:lineRule="atLeast"/>
              <w:rPr>
                <w:b w:val="0"/>
              </w:rPr>
            </w:pPr>
            <w:r>
              <w:rPr>
                <w:b w:val="0"/>
              </w:rPr>
              <w:t>Ensure case studies and examples are as inclusive as possible recognising all protected groups</w:t>
            </w:r>
          </w:p>
          <w:p w14:paraId="4DEE3391" w14:textId="77777777" w:rsidR="003E58A5" w:rsidRDefault="003E58A5" w:rsidP="003E58A5">
            <w:pPr>
              <w:pStyle w:val="SDSHeading"/>
              <w:spacing w:before="120" w:after="120" w:line="20" w:lineRule="atLeast"/>
              <w:rPr>
                <w:b w:val="0"/>
              </w:rPr>
            </w:pPr>
            <w:r>
              <w:rPr>
                <w:b w:val="0"/>
              </w:rPr>
              <w:t>Ensure inclusive monitoring forms (including “in another way”)</w:t>
            </w:r>
          </w:p>
          <w:p w14:paraId="463D25C8" w14:textId="77777777" w:rsidR="003E58A5" w:rsidRDefault="003E58A5" w:rsidP="003E58A5">
            <w:pPr>
              <w:pStyle w:val="SDSHeading"/>
              <w:spacing w:before="120" w:after="120" w:line="20" w:lineRule="atLeast"/>
              <w:rPr>
                <w:b w:val="0"/>
              </w:rPr>
            </w:pPr>
          </w:p>
          <w:p w14:paraId="25A1DC90" w14:textId="3C666C37" w:rsidR="003E58A5" w:rsidRPr="00F02F6E" w:rsidRDefault="003E58A5" w:rsidP="003E58A5">
            <w:pPr>
              <w:pStyle w:val="SDSHeading"/>
              <w:spacing w:before="120" w:after="120" w:line="20" w:lineRule="atLeast"/>
              <w:rPr>
                <w:b w:val="0"/>
              </w:rPr>
            </w:pPr>
          </w:p>
        </w:tc>
      </w:tr>
    </w:tbl>
    <w:p w14:paraId="05AC88B8" w14:textId="4705B271" w:rsidR="00113DA7" w:rsidRDefault="00113DA7" w:rsidP="00113DA7">
      <w:pPr>
        <w:pStyle w:val="SDSHeading"/>
        <w:spacing w:before="240"/>
        <w:ind w:left="567"/>
        <w:rPr>
          <w:color w:val="006373"/>
          <w:sz w:val="36"/>
        </w:rPr>
      </w:pPr>
    </w:p>
    <w:p w14:paraId="409B6A59" w14:textId="254BB53F" w:rsidR="00113DA7" w:rsidRDefault="00113DA7" w:rsidP="00113DA7">
      <w:pPr>
        <w:pStyle w:val="SDSHeading"/>
        <w:spacing w:before="240"/>
        <w:ind w:left="567"/>
        <w:rPr>
          <w:color w:val="006373"/>
          <w:sz w:val="36"/>
        </w:rPr>
      </w:pPr>
    </w:p>
    <w:p w14:paraId="6474EE5A" w14:textId="77777777" w:rsidR="00113DA7" w:rsidRDefault="00113DA7" w:rsidP="00113DA7">
      <w:pPr>
        <w:pStyle w:val="SDSHeading"/>
        <w:spacing w:before="240"/>
        <w:ind w:left="567"/>
        <w:rPr>
          <w:color w:val="006373"/>
          <w:sz w:val="36"/>
        </w:rPr>
      </w:pPr>
    </w:p>
    <w:p w14:paraId="7CE3CB2B" w14:textId="3E881579"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lastRenderedPageBreak/>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1E0EC446"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710A2">
        <w:rPr>
          <w:rFonts w:ascii="Arial" w:eastAsia="Calibri" w:hAnsi="Arial" w:cs="Arial"/>
          <w:sz w:val="24"/>
          <w:szCs w:val="24"/>
        </w:rPr>
        <w:t>Care experienced young people tend to disengage from school at an earlier opportunity and are therefore more likely to leave school with little/no qualifications.  At all levels of education, care experienced young people tend to have lower levels of attainment than their peers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764D2">
        <w:trPr>
          <w:trHeight w:val="648"/>
          <w:tblHeader/>
        </w:trPr>
        <w:tc>
          <w:tcPr>
            <w:tcW w:w="3681" w:type="dxa"/>
            <w:shd w:val="clear" w:color="auto" w:fill="006373"/>
            <w:tcMar>
              <w:top w:w="57" w:type="dxa"/>
            </w:tcMar>
          </w:tcPr>
          <w:p w14:paraId="0FB3EA4E"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2860A9" w:rsidRPr="00A16B84" w14:paraId="0B818BF0" w14:textId="77777777" w:rsidTr="0026197E">
        <w:tc>
          <w:tcPr>
            <w:tcW w:w="3681" w:type="dxa"/>
          </w:tcPr>
          <w:p w14:paraId="5D082F53" w14:textId="5D82B053" w:rsidR="002860A9" w:rsidRDefault="00A97CEC" w:rsidP="0026197E">
            <w:pPr>
              <w:pStyle w:val="SDSHeading"/>
              <w:spacing w:before="120" w:after="120" w:line="20" w:lineRule="atLeast"/>
              <w:rPr>
                <w:b w:val="0"/>
              </w:rPr>
            </w:pPr>
            <w:r>
              <w:rPr>
                <w:b w:val="0"/>
              </w:rPr>
              <w:t xml:space="preserve">Care Experienced individuals may have financial </w:t>
            </w:r>
            <w:r w:rsidR="00E90FE5">
              <w:rPr>
                <w:b w:val="0"/>
              </w:rPr>
              <w:t>challenges</w:t>
            </w:r>
            <w:r>
              <w:rPr>
                <w:b w:val="0"/>
              </w:rPr>
              <w:t xml:space="preserve"> </w:t>
            </w:r>
            <w:r w:rsidR="00E90FE5">
              <w:rPr>
                <w:b w:val="0"/>
              </w:rPr>
              <w:t>relating</w:t>
            </w:r>
            <w:r>
              <w:rPr>
                <w:b w:val="0"/>
              </w:rPr>
              <w:t xml:space="preserve"> to </w:t>
            </w:r>
            <w:r w:rsidR="00E90FE5">
              <w:rPr>
                <w:b w:val="0"/>
              </w:rPr>
              <w:t>engagement</w:t>
            </w:r>
            <w:r>
              <w:rPr>
                <w:b w:val="0"/>
              </w:rPr>
              <w:t xml:space="preserve"> in the training. </w:t>
            </w:r>
          </w:p>
          <w:p w14:paraId="1E0C5A5F" w14:textId="77777777" w:rsidR="002860A9" w:rsidRDefault="002860A9" w:rsidP="0026197E">
            <w:pPr>
              <w:pStyle w:val="SDSHeading"/>
              <w:spacing w:before="120" w:after="120" w:line="20" w:lineRule="atLeast"/>
              <w:rPr>
                <w:b w:val="0"/>
              </w:rPr>
            </w:pPr>
          </w:p>
          <w:p w14:paraId="60171152" w14:textId="77777777" w:rsidR="00A97CEC" w:rsidRDefault="00A97CEC" w:rsidP="00A97CEC">
            <w:pPr>
              <w:pStyle w:val="SDSHeading"/>
              <w:rPr>
                <w:b w:val="0"/>
              </w:rPr>
            </w:pPr>
            <w:r>
              <w:rPr>
                <w:b w:val="0"/>
              </w:rPr>
              <w:t>Through consultation, some of the key barriers to employment and upskilling for care experienced people identified were:</w:t>
            </w:r>
          </w:p>
          <w:p w14:paraId="70005665" w14:textId="77777777" w:rsidR="00A97CEC" w:rsidRDefault="00A97CEC" w:rsidP="00A97CEC">
            <w:pPr>
              <w:pStyle w:val="SDSHeading"/>
              <w:numPr>
                <w:ilvl w:val="0"/>
                <w:numId w:val="11"/>
              </w:numPr>
              <w:spacing w:after="200" w:line="276" w:lineRule="auto"/>
              <w:rPr>
                <w:b w:val="0"/>
              </w:rPr>
            </w:pPr>
            <w:r>
              <w:rPr>
                <w:b w:val="0"/>
              </w:rPr>
              <w:t>Lack of qualifications / relevant work experience</w:t>
            </w:r>
          </w:p>
          <w:p w14:paraId="57FF5833" w14:textId="77777777" w:rsidR="00A97CEC" w:rsidRDefault="00A97CEC" w:rsidP="00A97CEC">
            <w:pPr>
              <w:pStyle w:val="SDSHeading"/>
              <w:numPr>
                <w:ilvl w:val="0"/>
                <w:numId w:val="11"/>
              </w:numPr>
              <w:spacing w:after="200" w:line="276" w:lineRule="auto"/>
              <w:rPr>
                <w:b w:val="0"/>
              </w:rPr>
            </w:pPr>
            <w:r>
              <w:rPr>
                <w:b w:val="0"/>
              </w:rPr>
              <w:t xml:space="preserve"> Lack of networks / awareness of opportunities</w:t>
            </w:r>
          </w:p>
          <w:p w14:paraId="5AF3B278" w14:textId="6FF06110" w:rsidR="002860A9" w:rsidRPr="00113DA7" w:rsidRDefault="00A97CEC" w:rsidP="00113DA7">
            <w:pPr>
              <w:pStyle w:val="SDSHeading"/>
              <w:numPr>
                <w:ilvl w:val="0"/>
                <w:numId w:val="11"/>
              </w:numPr>
              <w:spacing w:after="200" w:line="276" w:lineRule="auto"/>
              <w:rPr>
                <w:b w:val="0"/>
              </w:rPr>
            </w:pPr>
            <w:r>
              <w:rPr>
                <w:b w:val="0"/>
              </w:rPr>
              <w:t xml:space="preserve">Lack of understanding from employers </w:t>
            </w:r>
          </w:p>
        </w:tc>
        <w:tc>
          <w:tcPr>
            <w:tcW w:w="2410" w:type="dxa"/>
          </w:tcPr>
          <w:p w14:paraId="52129C21" w14:textId="77777777" w:rsidR="002860A9" w:rsidRDefault="002860A9" w:rsidP="0026197E">
            <w:pPr>
              <w:pStyle w:val="SDSHeading"/>
              <w:tabs>
                <w:tab w:val="clear" w:pos="284"/>
                <w:tab w:val="left" w:pos="317"/>
              </w:tabs>
              <w:spacing w:after="200" w:line="276" w:lineRule="auto"/>
              <w:rPr>
                <w:b w:val="0"/>
              </w:rPr>
            </w:pPr>
            <w:r>
              <w:rPr>
                <w:b w:val="0"/>
              </w:rPr>
              <w:t>Consultation with care experienced young people and Action for Children / Barnardo’s staff</w:t>
            </w:r>
          </w:p>
          <w:p w14:paraId="2EFC8577" w14:textId="77777777" w:rsidR="002860A9" w:rsidRPr="00E23D1A" w:rsidRDefault="00762818" w:rsidP="0026197E">
            <w:pPr>
              <w:pStyle w:val="SDSHeading"/>
              <w:spacing w:before="120" w:after="120" w:line="20" w:lineRule="atLeast"/>
              <w:rPr>
                <w:b w:val="0"/>
              </w:rPr>
            </w:pPr>
            <w:hyperlink r:id="rId22" w:history="1">
              <w:r w:rsidR="002860A9" w:rsidRPr="00476CB9">
                <w:rPr>
                  <w:rStyle w:val="Hyperlink"/>
                  <w:b w:val="0"/>
                </w:rPr>
                <w:t>Equality Evidence Review</w:t>
              </w:r>
            </w:hyperlink>
          </w:p>
        </w:tc>
        <w:tc>
          <w:tcPr>
            <w:tcW w:w="3827" w:type="dxa"/>
          </w:tcPr>
          <w:p w14:paraId="2DBEE834" w14:textId="77777777" w:rsidR="002860A9" w:rsidRDefault="00D84F61" w:rsidP="0026197E">
            <w:pPr>
              <w:pStyle w:val="SDSHeading"/>
              <w:spacing w:before="120" w:after="120" w:line="20" w:lineRule="atLeast"/>
              <w:rPr>
                <w:b w:val="0"/>
              </w:rPr>
            </w:pPr>
            <w:r>
              <w:rPr>
                <w:b w:val="0"/>
              </w:rPr>
              <w:t>SDS is a Corporate Parent and undertakes work across other programmes specifically focused on care experienced individuals</w:t>
            </w:r>
            <w:r w:rsidR="00DA75B7">
              <w:rPr>
                <w:b w:val="0"/>
              </w:rPr>
              <w:t>.</w:t>
            </w:r>
          </w:p>
          <w:p w14:paraId="2898FA27" w14:textId="38CE6423" w:rsidR="00DA75B7" w:rsidRPr="00F02F6E" w:rsidRDefault="00DA75B7" w:rsidP="0026197E">
            <w:pPr>
              <w:pStyle w:val="SDSHeading"/>
              <w:spacing w:before="120" w:after="120" w:line="20" w:lineRule="atLeast"/>
              <w:rPr>
                <w:b w:val="0"/>
              </w:rPr>
            </w:pPr>
            <w:r>
              <w:rPr>
                <w:b w:val="0"/>
              </w:rPr>
              <w:t>Guides produced in conjunction with Who Cares Scotland to support learners and providers</w:t>
            </w:r>
          </w:p>
        </w:tc>
        <w:tc>
          <w:tcPr>
            <w:tcW w:w="4678" w:type="dxa"/>
          </w:tcPr>
          <w:p w14:paraId="0FC16E6E" w14:textId="77777777" w:rsidR="002860A9" w:rsidRDefault="002860A9" w:rsidP="0026197E">
            <w:pPr>
              <w:pStyle w:val="SDSHeading"/>
              <w:spacing w:after="200" w:line="276" w:lineRule="auto"/>
              <w:rPr>
                <w:b w:val="0"/>
              </w:rPr>
            </w:pPr>
            <w:r>
              <w:rPr>
                <w:b w:val="0"/>
              </w:rPr>
              <w:t>Promote positive role models from this group in our marketing and via our digital services.</w:t>
            </w:r>
          </w:p>
          <w:p w14:paraId="517C40EA" w14:textId="77777777" w:rsidR="002860A9" w:rsidRDefault="002860A9" w:rsidP="0026197E">
            <w:pPr>
              <w:pStyle w:val="SDSHeading"/>
              <w:spacing w:before="120" w:after="120" w:line="20" w:lineRule="atLeast"/>
              <w:rPr>
                <w:b w:val="0"/>
              </w:rPr>
            </w:pPr>
            <w:r>
              <w:rPr>
                <w:b w:val="0"/>
              </w:rPr>
              <w:t>Ensure appointed approved providers adhere to legal requirements but reinforcing on supplier briefing day</w:t>
            </w:r>
          </w:p>
          <w:p w14:paraId="0AB637A6" w14:textId="47944EB3" w:rsidR="00A97CEC" w:rsidRPr="00F02F6E" w:rsidRDefault="00A97CEC" w:rsidP="0026197E">
            <w:pPr>
              <w:pStyle w:val="SDSHeading"/>
              <w:spacing w:before="120" w:after="120" w:line="20" w:lineRule="atLeast"/>
              <w:rPr>
                <w:b w:val="0"/>
              </w:rPr>
            </w:pPr>
            <w:r>
              <w:rPr>
                <w:b w:val="0"/>
              </w:rPr>
              <w:t xml:space="preserve">Review on a case by case basis, flexibility to assist financial challenges </w:t>
            </w:r>
            <w:proofErr w:type="spellStart"/>
            <w:r>
              <w:rPr>
                <w:b w:val="0"/>
              </w:rPr>
              <w:t>ie</w:t>
            </w:r>
            <w:proofErr w:type="spellEnd"/>
            <w:r>
              <w:rPr>
                <w:b w:val="0"/>
              </w:rPr>
              <w:t xml:space="preserve"> reasonable travel expenses and contribution to childcare</w:t>
            </w:r>
            <w:r w:rsidR="00E90FE5">
              <w:rPr>
                <w:b w:val="0"/>
              </w:rPr>
              <w:t xml:space="preserve"> costs</w:t>
            </w:r>
          </w:p>
        </w:tc>
      </w:tr>
    </w:tbl>
    <w:p w14:paraId="15996726" w14:textId="4A40D8CD" w:rsidR="00F92FB9" w:rsidRPr="00F92FB9" w:rsidRDefault="00D1585A"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A</w:t>
      </w:r>
      <w:r w:rsidR="00DA75B7">
        <w:rPr>
          <w:rFonts w:ascii="Arial" w:eastAsia="Calibri" w:hAnsi="Arial" w:cs="Arial"/>
          <w:b/>
          <w:color w:val="006373"/>
          <w:sz w:val="28"/>
          <w:szCs w:val="24"/>
          <w:lang w:val="en-US"/>
        </w:rPr>
        <w:t>d</w:t>
      </w:r>
      <w:r>
        <w:rPr>
          <w:rFonts w:ascii="Arial" w:eastAsia="Calibri" w:hAnsi="Arial" w:cs="Arial"/>
          <w:b/>
          <w:color w:val="006373"/>
          <w:sz w:val="28"/>
          <w:szCs w:val="24"/>
          <w:lang w:val="en-US"/>
        </w:rPr>
        <w:t>ditional factors as needed</w:t>
      </w:r>
    </w:p>
    <w:p w14:paraId="064EEFBF" w14:textId="3174DEEE"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bookmarkStart w:id="1" w:name="_Hlk83235531"/>
      <w:r w:rsidR="0059397D">
        <w:rPr>
          <w:rFonts w:ascii="Arial" w:eastAsia="Calibri" w:hAnsi="Arial" w:cs="Arial"/>
          <w:sz w:val="24"/>
          <w:szCs w:val="24"/>
          <w:lang w:val="en-US"/>
        </w:rPr>
        <w:t xml:space="preserve">Ensure </w:t>
      </w:r>
      <w:r w:rsidR="007B7461">
        <w:rPr>
          <w:rFonts w:ascii="Arial" w:eastAsia="Calibri" w:hAnsi="Arial" w:cs="Arial"/>
          <w:sz w:val="24"/>
          <w:szCs w:val="24"/>
          <w:lang w:val="en-US"/>
        </w:rPr>
        <w:t xml:space="preserve">equality of </w:t>
      </w:r>
      <w:r w:rsidR="00EB732A">
        <w:rPr>
          <w:rFonts w:ascii="Arial" w:eastAsia="Calibri" w:hAnsi="Arial" w:cs="Arial"/>
          <w:sz w:val="24"/>
          <w:szCs w:val="24"/>
          <w:lang w:val="en-US"/>
        </w:rPr>
        <w:t>opportunity</w:t>
      </w:r>
      <w:r w:rsidR="007B7461">
        <w:rPr>
          <w:rFonts w:ascii="Arial" w:eastAsia="Calibri" w:hAnsi="Arial" w:cs="Arial"/>
          <w:sz w:val="24"/>
          <w:szCs w:val="24"/>
          <w:lang w:val="en-US"/>
        </w:rPr>
        <w:t xml:space="preserve"> and that no one is left behind due to economic impact of access to digital equipment</w:t>
      </w:r>
      <w:r w:rsidR="00EB732A">
        <w:rPr>
          <w:rFonts w:ascii="Arial" w:eastAsia="Calibri" w:hAnsi="Arial" w:cs="Arial"/>
          <w:sz w:val="24"/>
          <w:szCs w:val="24"/>
          <w:lang w:val="en-US"/>
        </w:rPr>
        <w:t xml:space="preserve"> </w:t>
      </w:r>
      <w:bookmarkEnd w:id="1"/>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4764D2">
        <w:trPr>
          <w:trHeight w:val="648"/>
          <w:tblHeader/>
        </w:trPr>
        <w:tc>
          <w:tcPr>
            <w:tcW w:w="3681" w:type="dxa"/>
            <w:shd w:val="clear" w:color="auto" w:fill="006373"/>
            <w:tcMar>
              <w:top w:w="57" w:type="dxa"/>
            </w:tcMar>
          </w:tcPr>
          <w:p w14:paraId="1D501BAD" w14:textId="77777777" w:rsidR="00D1585A" w:rsidRPr="00472F02" w:rsidRDefault="00D1585A" w:rsidP="004764D2">
            <w:pPr>
              <w:pStyle w:val="SDSHeading"/>
              <w:spacing w:after="120"/>
              <w:rPr>
                <w:color w:val="FFFFFF" w:themeColor="background1"/>
              </w:rPr>
            </w:pPr>
            <w:bookmarkStart w:id="2" w:name="_Hlk83020543"/>
            <w:bookmarkStart w:id="3" w:name="_Hlk83020628"/>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4764D2">
        <w:tc>
          <w:tcPr>
            <w:tcW w:w="3681" w:type="dxa"/>
          </w:tcPr>
          <w:p w14:paraId="3F3FCECA" w14:textId="232A462B" w:rsidR="00D1585A" w:rsidRPr="00B23439" w:rsidRDefault="00D03026" w:rsidP="004764D2">
            <w:pPr>
              <w:pStyle w:val="SDSHeading"/>
              <w:spacing w:before="120" w:after="120" w:line="20" w:lineRule="atLeast"/>
              <w:rPr>
                <w:b w:val="0"/>
              </w:rPr>
            </w:pPr>
            <w:r>
              <w:rPr>
                <w:b w:val="0"/>
              </w:rPr>
              <w:t xml:space="preserve">Digital Poverty </w:t>
            </w:r>
            <w:r w:rsidR="00B55329">
              <w:rPr>
                <w:b w:val="0"/>
              </w:rPr>
              <w:t xml:space="preserve">– </w:t>
            </w:r>
            <w:r w:rsidR="00EC6D1B">
              <w:rPr>
                <w:b w:val="0"/>
              </w:rPr>
              <w:t>negative impact</w:t>
            </w:r>
            <w:r w:rsidR="00B55329">
              <w:rPr>
                <w:b w:val="0"/>
              </w:rPr>
              <w:t xml:space="preserve"> </w:t>
            </w:r>
          </w:p>
        </w:tc>
        <w:tc>
          <w:tcPr>
            <w:tcW w:w="2410" w:type="dxa"/>
          </w:tcPr>
          <w:p w14:paraId="0DED020A" w14:textId="13338B41" w:rsidR="00D1585A" w:rsidRPr="00E23D1A" w:rsidRDefault="00BD6D2D" w:rsidP="004764D2">
            <w:pPr>
              <w:pStyle w:val="SDSHeading"/>
              <w:spacing w:before="120" w:after="120" w:line="20" w:lineRule="atLeast"/>
              <w:rPr>
                <w:b w:val="0"/>
              </w:rPr>
            </w:pPr>
            <w:r>
              <w:rPr>
                <w:b w:val="0"/>
              </w:rPr>
              <w:t>Scottish Government COVID response</w:t>
            </w:r>
          </w:p>
        </w:tc>
        <w:tc>
          <w:tcPr>
            <w:tcW w:w="3827" w:type="dxa"/>
          </w:tcPr>
          <w:p w14:paraId="5873E743" w14:textId="47DABA79" w:rsidR="00D1585A" w:rsidRPr="00F02F6E" w:rsidRDefault="00EE01AA" w:rsidP="004764D2">
            <w:pPr>
              <w:pStyle w:val="SDSHeading"/>
              <w:spacing w:before="120" w:after="120" w:line="20" w:lineRule="atLeast"/>
              <w:rPr>
                <w:b w:val="0"/>
              </w:rPr>
            </w:pPr>
            <w:r>
              <w:rPr>
                <w:b w:val="0"/>
              </w:rPr>
              <w:t>Liaison</w:t>
            </w:r>
            <w:r w:rsidR="00D03026">
              <w:rPr>
                <w:b w:val="0"/>
              </w:rPr>
              <w:t xml:space="preserve"> with Connecting Scotland </w:t>
            </w:r>
          </w:p>
        </w:tc>
        <w:tc>
          <w:tcPr>
            <w:tcW w:w="4678" w:type="dxa"/>
          </w:tcPr>
          <w:p w14:paraId="6092C303" w14:textId="78018087" w:rsidR="00D1585A" w:rsidRDefault="00EE01AA" w:rsidP="004764D2">
            <w:pPr>
              <w:pStyle w:val="SDSHeading"/>
              <w:spacing w:before="120" w:after="120" w:line="20" w:lineRule="atLeast"/>
              <w:rPr>
                <w:b w:val="0"/>
              </w:rPr>
            </w:pPr>
            <w:r>
              <w:rPr>
                <w:b w:val="0"/>
              </w:rPr>
              <w:t>Connecting Scotland to gain access to equipment supported by Scottish Government</w:t>
            </w:r>
          </w:p>
          <w:p w14:paraId="5CC946C3" w14:textId="1F22691D" w:rsidR="00EE01AA" w:rsidRDefault="00762818" w:rsidP="004764D2">
            <w:pPr>
              <w:pStyle w:val="SDSHeading"/>
              <w:spacing w:before="120" w:after="120" w:line="20" w:lineRule="atLeast"/>
              <w:rPr>
                <w:b w:val="0"/>
              </w:rPr>
            </w:pPr>
            <w:hyperlink r:id="rId23" w:history="1">
              <w:r w:rsidR="004F626A" w:rsidRPr="004A482A">
                <w:rPr>
                  <w:rStyle w:val="Hyperlink"/>
                  <w:b w:val="0"/>
                </w:rPr>
                <w:t>https://connecting.scot/</w:t>
              </w:r>
            </w:hyperlink>
          </w:p>
          <w:p w14:paraId="4C6A5DAD" w14:textId="77777777" w:rsidR="004F626A" w:rsidRDefault="004F626A" w:rsidP="004764D2">
            <w:pPr>
              <w:pStyle w:val="SDSHeading"/>
              <w:spacing w:before="120" w:after="120" w:line="20" w:lineRule="atLeast"/>
              <w:rPr>
                <w:b w:val="0"/>
              </w:rPr>
            </w:pPr>
          </w:p>
          <w:p w14:paraId="717BE6EE" w14:textId="5090931B" w:rsidR="004F626A" w:rsidRPr="00F02F6E" w:rsidRDefault="004F626A" w:rsidP="004764D2">
            <w:pPr>
              <w:pStyle w:val="SDSHeading"/>
              <w:spacing w:before="120" w:after="120" w:line="20" w:lineRule="atLeast"/>
              <w:rPr>
                <w:b w:val="0"/>
              </w:rPr>
            </w:pPr>
            <w:r>
              <w:rPr>
                <w:b w:val="0"/>
              </w:rPr>
              <w:t>Also if appointed provider is a college S</w:t>
            </w:r>
            <w:r w:rsidR="0098562A">
              <w:rPr>
                <w:b w:val="0"/>
              </w:rPr>
              <w:t xml:space="preserve">cottish </w:t>
            </w:r>
            <w:r>
              <w:rPr>
                <w:b w:val="0"/>
              </w:rPr>
              <w:t>F</w:t>
            </w:r>
            <w:r w:rsidR="0098562A">
              <w:rPr>
                <w:b w:val="0"/>
              </w:rPr>
              <w:t xml:space="preserve">inding </w:t>
            </w:r>
            <w:r>
              <w:rPr>
                <w:b w:val="0"/>
              </w:rPr>
              <w:t>C</w:t>
            </w:r>
            <w:r w:rsidR="0098562A">
              <w:rPr>
                <w:b w:val="0"/>
              </w:rPr>
              <w:t xml:space="preserve">ouncil </w:t>
            </w:r>
            <w:r>
              <w:rPr>
                <w:b w:val="0"/>
              </w:rPr>
              <w:t>awarded additional funding to colleges to assist individuals with Digital poverty on a case by case basis</w:t>
            </w:r>
          </w:p>
        </w:tc>
      </w:tr>
      <w:bookmarkEnd w:id="2"/>
      <w:bookmarkEnd w:id="3"/>
    </w:tbl>
    <w:p w14:paraId="3A89D317" w14:textId="77777777" w:rsidR="005054AD" w:rsidRDefault="005054AD" w:rsidP="005054AD">
      <w:pPr>
        <w:spacing w:after="200" w:line="276" w:lineRule="auto"/>
        <w:rPr>
          <w:rFonts w:ascii="Arial" w:eastAsia="Calibri" w:hAnsi="Arial" w:cs="Arial"/>
          <w:b/>
          <w:sz w:val="24"/>
          <w:szCs w:val="24"/>
          <w:lang w:val="en-US"/>
        </w:rPr>
      </w:pPr>
    </w:p>
    <w:p w14:paraId="1F1EAE2C" w14:textId="28BF80F5" w:rsidR="005054AD" w:rsidRDefault="005054AD" w:rsidP="005054A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Rurality</w:t>
      </w:r>
      <w:r w:rsidR="00D93678">
        <w:rPr>
          <w:rFonts w:ascii="Arial" w:eastAsia="Calibri" w:hAnsi="Arial" w:cs="Arial"/>
          <w:sz w:val="24"/>
          <w:szCs w:val="24"/>
          <w:lang w:val="en-US"/>
        </w:rPr>
        <w:t xml:space="preserve"> can cause issues for individuals wishing to participate in learning and upskilling</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5054AD" w:rsidRPr="00A16B84" w14:paraId="35A2502E" w14:textId="77777777" w:rsidTr="002D7B4C">
        <w:trPr>
          <w:trHeight w:val="648"/>
          <w:tblHeader/>
        </w:trPr>
        <w:tc>
          <w:tcPr>
            <w:tcW w:w="3681" w:type="dxa"/>
            <w:shd w:val="clear" w:color="auto" w:fill="006373"/>
            <w:tcMar>
              <w:top w:w="57" w:type="dxa"/>
            </w:tcMar>
          </w:tcPr>
          <w:p w14:paraId="02ED4976" w14:textId="77777777" w:rsidR="005054AD" w:rsidRPr="00472F02" w:rsidRDefault="005054AD" w:rsidP="002D7B4C">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6427DD01"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856557C"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31A5E59"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Further activity required </w:t>
            </w:r>
          </w:p>
        </w:tc>
      </w:tr>
      <w:tr w:rsidR="005054AD" w:rsidRPr="00A16B84" w14:paraId="28898EF9" w14:textId="77777777" w:rsidTr="002D7B4C">
        <w:tc>
          <w:tcPr>
            <w:tcW w:w="3681" w:type="dxa"/>
          </w:tcPr>
          <w:p w14:paraId="2DC0A221" w14:textId="77777777" w:rsidR="005054AD" w:rsidRPr="00F02F6E" w:rsidRDefault="005054AD" w:rsidP="002D7B4C">
            <w:pPr>
              <w:pStyle w:val="SDSHeading"/>
              <w:spacing w:before="120" w:after="120" w:line="20" w:lineRule="atLeast"/>
              <w:rPr>
                <w:b w:val="0"/>
              </w:rPr>
            </w:pPr>
            <w:r>
              <w:rPr>
                <w:b w:val="0"/>
              </w:rPr>
              <w:t>There is a risk that slow connectivity could hamper access to online modules but this is outside of the scope of SDS control</w:t>
            </w:r>
          </w:p>
        </w:tc>
        <w:tc>
          <w:tcPr>
            <w:tcW w:w="2410" w:type="dxa"/>
          </w:tcPr>
          <w:p w14:paraId="52189664" w14:textId="77777777" w:rsidR="005054AD" w:rsidRPr="00E23D1A" w:rsidRDefault="005054AD" w:rsidP="002D7B4C">
            <w:pPr>
              <w:pStyle w:val="SDSHeading"/>
              <w:spacing w:before="120" w:after="120" w:line="20" w:lineRule="atLeast"/>
              <w:rPr>
                <w:b w:val="0"/>
                <w:color w:val="006373"/>
              </w:rPr>
            </w:pPr>
          </w:p>
        </w:tc>
        <w:tc>
          <w:tcPr>
            <w:tcW w:w="3827" w:type="dxa"/>
          </w:tcPr>
          <w:p w14:paraId="144E6255" w14:textId="77777777" w:rsidR="005054AD" w:rsidRPr="00F02F6E" w:rsidRDefault="005054AD" w:rsidP="002D7B4C">
            <w:pPr>
              <w:pStyle w:val="SDSHeading"/>
              <w:spacing w:before="120" w:after="120" w:line="20" w:lineRule="atLeast"/>
              <w:rPr>
                <w:b w:val="0"/>
              </w:rPr>
            </w:pPr>
          </w:p>
        </w:tc>
        <w:tc>
          <w:tcPr>
            <w:tcW w:w="4678" w:type="dxa"/>
          </w:tcPr>
          <w:p w14:paraId="1E1F0EDA" w14:textId="56AD8939" w:rsidR="005054AD" w:rsidRPr="00F02F6E" w:rsidRDefault="005054AD" w:rsidP="002D7B4C">
            <w:pPr>
              <w:pStyle w:val="SDSHeading"/>
              <w:spacing w:before="120" w:after="120" w:line="20" w:lineRule="atLeast"/>
              <w:rPr>
                <w:b w:val="0"/>
              </w:rPr>
            </w:pPr>
            <w:r>
              <w:rPr>
                <w:b w:val="0"/>
              </w:rPr>
              <w:t xml:space="preserve">Ensure that online modules </w:t>
            </w:r>
            <w:r w:rsidR="00E90FE5">
              <w:rPr>
                <w:b w:val="0"/>
              </w:rPr>
              <w:t>consider variations in connectivity</w:t>
            </w:r>
            <w:r>
              <w:rPr>
                <w:b w:val="0"/>
              </w:rPr>
              <w:t xml:space="preserve"> </w:t>
            </w:r>
          </w:p>
        </w:tc>
      </w:tr>
    </w:tbl>
    <w:p w14:paraId="30C26A95" w14:textId="73C8972C" w:rsidR="005054AD" w:rsidRDefault="005054AD" w:rsidP="005054AD">
      <w:pPr>
        <w:pStyle w:val="ListParagraph"/>
        <w:spacing w:before="240"/>
        <w:ind w:left="567"/>
        <w:rPr>
          <w:rFonts w:ascii="Arial" w:hAnsi="Arial" w:cs="Arial"/>
          <w:b/>
          <w:color w:val="006373"/>
          <w:sz w:val="36"/>
        </w:rPr>
      </w:pPr>
    </w:p>
    <w:p w14:paraId="715C76A1" w14:textId="77777777" w:rsidR="00113DA7" w:rsidRDefault="00113DA7" w:rsidP="005054AD">
      <w:pPr>
        <w:pStyle w:val="ListParagraph"/>
        <w:spacing w:before="240"/>
        <w:ind w:left="567"/>
        <w:rPr>
          <w:rFonts w:ascii="Arial" w:hAnsi="Arial" w:cs="Arial"/>
          <w:b/>
          <w:color w:val="006373"/>
          <w:sz w:val="36"/>
        </w:rPr>
      </w:pPr>
    </w:p>
    <w:p w14:paraId="0E69261E" w14:textId="77777777" w:rsidR="005054AD" w:rsidRDefault="005054AD" w:rsidP="005054AD">
      <w:pPr>
        <w:pStyle w:val="ListParagraph"/>
        <w:spacing w:before="240"/>
        <w:ind w:left="567"/>
        <w:rPr>
          <w:rFonts w:ascii="Arial" w:hAnsi="Arial" w:cs="Arial"/>
          <w:b/>
          <w:color w:val="006373"/>
          <w:sz w:val="36"/>
        </w:rPr>
      </w:pPr>
    </w:p>
    <w:p w14:paraId="262BF959" w14:textId="0F9CD377"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0BC4E9A9" w14:textId="77777777" w:rsidR="00FE31E0" w:rsidRDefault="00FE31E0" w:rsidP="00FE31E0">
      <w:pPr>
        <w:rPr>
          <w:rFonts w:ascii="Arial" w:hAnsi="Arial" w:cs="Arial"/>
          <w:b/>
          <w:sz w:val="24"/>
        </w:rPr>
      </w:pPr>
    </w:p>
    <w:p w14:paraId="7A9BBEB5" w14:textId="6939C4DC"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113DA7">
        <w:trPr>
          <w:cantSplit/>
          <w:tblHeader/>
        </w:trPr>
        <w:tc>
          <w:tcPr>
            <w:tcW w:w="4390" w:type="dxa"/>
            <w:shd w:val="clear" w:color="auto" w:fill="006373"/>
            <w:tcMar>
              <w:left w:w="57" w:type="dxa"/>
              <w:right w:w="57" w:type="dxa"/>
            </w:tcMar>
          </w:tcPr>
          <w:p w14:paraId="3A3B1C32" w14:textId="7079C162" w:rsidR="00441B78" w:rsidRPr="00757FA3" w:rsidRDefault="00113DA7" w:rsidP="00441B78">
            <w:pPr>
              <w:spacing w:before="120" w:after="120"/>
              <w:rPr>
                <w:rFonts w:ascii="Arial" w:hAnsi="Arial" w:cs="Arial"/>
                <w:b/>
                <w:color w:val="FFFFFF" w:themeColor="background1"/>
                <w:sz w:val="24"/>
                <w:szCs w:val="24"/>
              </w:rPr>
            </w:pPr>
            <w:r w:rsidRPr="00113DA7">
              <w:rPr>
                <w:rFonts w:ascii="Arial" w:hAnsi="Arial" w:cs="Arial"/>
                <w:b/>
                <w:color w:val="FFFFFF" w:themeColor="background1"/>
                <w:sz w:val="24"/>
                <w:szCs w:val="24"/>
              </w:rPr>
              <w:t xml:space="preserve">What </w:t>
            </w:r>
            <w:r w:rsidR="00A426E2" w:rsidRPr="00757FA3">
              <w:rPr>
                <w:rFonts w:ascii="Arial" w:hAnsi="Arial" w:cs="Arial"/>
                <w:b/>
                <w:color w:val="FFFFFF" w:themeColor="background1"/>
                <w:sz w:val="24"/>
                <w:szCs w:val="24"/>
              </w:rPr>
              <w:t>is the a</w:t>
            </w:r>
            <w:r w:rsidR="00441B78" w:rsidRPr="00757FA3">
              <w:rPr>
                <w:rFonts w:ascii="Arial" w:hAnsi="Arial" w:cs="Arial"/>
                <w:b/>
                <w:color w:val="FFFFFF" w:themeColor="background1"/>
                <w:sz w:val="24"/>
                <w:szCs w:val="24"/>
              </w:rPr>
              <w:t>ction</w:t>
            </w:r>
            <w:r w:rsidR="00A426E2"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526977" w14:paraId="3FBF2949" w14:textId="77777777" w:rsidTr="00113DA7">
        <w:trPr>
          <w:cantSplit/>
          <w:tblHeader/>
        </w:trPr>
        <w:tc>
          <w:tcPr>
            <w:tcW w:w="4390" w:type="dxa"/>
            <w:tcMar>
              <w:left w:w="57" w:type="dxa"/>
              <w:right w:w="57" w:type="dxa"/>
            </w:tcMar>
          </w:tcPr>
          <w:p w14:paraId="47B11CF0" w14:textId="5AA0AA8F" w:rsidR="00113DA7" w:rsidRDefault="00526977" w:rsidP="00526977">
            <w:pPr>
              <w:spacing w:before="120" w:after="120"/>
              <w:rPr>
                <w:rFonts w:ascii="Arial" w:eastAsia="Times New Roman" w:hAnsi="Arial" w:cs="Arial"/>
                <w:sz w:val="24"/>
                <w:szCs w:val="24"/>
              </w:rPr>
            </w:pPr>
            <w:bookmarkStart w:id="4" w:name="_Hlk83019504"/>
            <w:r>
              <w:rPr>
                <w:rFonts w:ascii="Arial" w:eastAsia="Times New Roman" w:hAnsi="Arial" w:cs="Arial"/>
                <w:sz w:val="24"/>
                <w:szCs w:val="24"/>
              </w:rPr>
              <w:t>Ensure equality consideration are built into procurement process</w:t>
            </w:r>
            <w:r w:rsidR="004A4F40">
              <w:rPr>
                <w:rFonts w:ascii="Arial" w:eastAsia="Times New Roman" w:hAnsi="Arial" w:cs="Arial"/>
                <w:sz w:val="24"/>
                <w:szCs w:val="24"/>
              </w:rPr>
              <w:t xml:space="preserve"> including Gaelic translation in comms</w:t>
            </w:r>
            <w:r w:rsidR="006D3F87">
              <w:rPr>
                <w:rFonts w:ascii="Arial" w:eastAsia="Times New Roman" w:hAnsi="Arial" w:cs="Arial"/>
                <w:sz w:val="24"/>
                <w:szCs w:val="24"/>
              </w:rPr>
              <w:t xml:space="preserve">. Ensure digital accessibility, including D and I imagery and </w:t>
            </w:r>
            <w:proofErr w:type="spellStart"/>
            <w:r w:rsidR="006D3F87">
              <w:rPr>
                <w:rFonts w:ascii="Arial" w:eastAsia="Times New Roman" w:hAnsi="Arial" w:cs="Arial"/>
                <w:sz w:val="24"/>
                <w:szCs w:val="24"/>
              </w:rPr>
              <w:t>non biased</w:t>
            </w:r>
            <w:proofErr w:type="spellEnd"/>
            <w:r w:rsidR="006D3F87">
              <w:rPr>
                <w:rFonts w:ascii="Arial" w:eastAsia="Times New Roman" w:hAnsi="Arial" w:cs="Arial"/>
                <w:sz w:val="24"/>
                <w:szCs w:val="24"/>
              </w:rPr>
              <w:t xml:space="preserve"> language used in modules</w:t>
            </w:r>
          </w:p>
        </w:tc>
        <w:tc>
          <w:tcPr>
            <w:tcW w:w="2551" w:type="dxa"/>
            <w:tcMar>
              <w:left w:w="57" w:type="dxa"/>
              <w:right w:w="57" w:type="dxa"/>
            </w:tcMar>
          </w:tcPr>
          <w:p w14:paraId="071FC2F9" w14:textId="222B2D5E"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All groups</w:t>
            </w:r>
          </w:p>
        </w:tc>
        <w:tc>
          <w:tcPr>
            <w:tcW w:w="2977" w:type="dxa"/>
            <w:tcMar>
              <w:left w:w="57" w:type="dxa"/>
              <w:right w:w="57" w:type="dxa"/>
            </w:tcMar>
          </w:tcPr>
          <w:p w14:paraId="688783DA" w14:textId="6D783CEC" w:rsidR="00526977" w:rsidRDefault="00526977" w:rsidP="00526977">
            <w:pPr>
              <w:spacing w:before="120" w:after="120"/>
              <w:rPr>
                <w:rFonts w:ascii="Arial" w:eastAsia="Times New Roman" w:hAnsi="Arial" w:cs="Arial"/>
                <w:sz w:val="24"/>
                <w:szCs w:val="24"/>
              </w:rPr>
            </w:pPr>
            <w:r>
              <w:rPr>
                <w:rFonts w:ascii="Arial" w:eastAsia="Times New Roman" w:hAnsi="Arial" w:cs="Arial"/>
                <w:sz w:val="24"/>
                <w:szCs w:val="24"/>
              </w:rPr>
              <w:t xml:space="preserve">Inclusion is at the forefront of the commissioning process and therefore bidders will be clear on expected outcomes.  </w:t>
            </w:r>
          </w:p>
        </w:tc>
        <w:tc>
          <w:tcPr>
            <w:tcW w:w="2835" w:type="dxa"/>
            <w:tcMar>
              <w:left w:w="57" w:type="dxa"/>
              <w:right w:w="57" w:type="dxa"/>
            </w:tcMar>
          </w:tcPr>
          <w:p w14:paraId="31DA2148" w14:textId="38C61867" w:rsidR="00526977" w:rsidRPr="00526977" w:rsidRDefault="00526977" w:rsidP="00526977">
            <w:pPr>
              <w:pStyle w:val="SDSHeading"/>
              <w:spacing w:before="120" w:after="120" w:line="20" w:lineRule="atLeast"/>
              <w:rPr>
                <w:rFonts w:eastAsia="Times New Roman" w:cs="Arial"/>
                <w:b w:val="0"/>
                <w:szCs w:val="24"/>
              </w:rPr>
            </w:pPr>
            <w:r w:rsidRPr="00526977">
              <w:rPr>
                <w:rFonts w:cs="Arial"/>
                <w:b w:val="0"/>
                <w:szCs w:val="24"/>
              </w:rPr>
              <w:t>Bid submission and scoring methodologies</w:t>
            </w:r>
          </w:p>
        </w:tc>
        <w:tc>
          <w:tcPr>
            <w:tcW w:w="1843" w:type="dxa"/>
            <w:tcMar>
              <w:left w:w="57" w:type="dxa"/>
              <w:right w:w="57" w:type="dxa"/>
            </w:tcMar>
          </w:tcPr>
          <w:p w14:paraId="183B8DE4" w14:textId="22A30C33" w:rsidR="00526977" w:rsidRPr="00526977" w:rsidRDefault="00526977" w:rsidP="00526977">
            <w:pPr>
              <w:pStyle w:val="SDSHeading"/>
              <w:spacing w:before="120" w:after="120" w:line="20" w:lineRule="atLeast"/>
              <w:rPr>
                <w:rFonts w:eastAsia="Times New Roman" w:cs="Arial"/>
                <w:b w:val="0"/>
                <w:szCs w:val="24"/>
              </w:rPr>
            </w:pPr>
            <w:r w:rsidRPr="00526977">
              <w:rPr>
                <w:rFonts w:cs="Arial"/>
                <w:b w:val="0"/>
                <w:szCs w:val="24"/>
              </w:rPr>
              <w:t>September 2021</w:t>
            </w:r>
          </w:p>
        </w:tc>
      </w:tr>
      <w:bookmarkEnd w:id="4"/>
      <w:tr w:rsidR="00113DA7" w14:paraId="6BCC6DF8" w14:textId="77777777" w:rsidTr="00113DA7">
        <w:trPr>
          <w:cantSplit/>
        </w:trPr>
        <w:tc>
          <w:tcPr>
            <w:tcW w:w="4390" w:type="dxa"/>
            <w:tcMar>
              <w:left w:w="57" w:type="dxa"/>
              <w:right w:w="57" w:type="dxa"/>
            </w:tcMar>
          </w:tcPr>
          <w:p w14:paraId="1E99A591" w14:textId="0073B340" w:rsidR="00113DA7" w:rsidRDefault="00113DA7" w:rsidP="00113DA7">
            <w:pPr>
              <w:spacing w:before="120" w:after="120"/>
              <w:rPr>
                <w:rFonts w:ascii="Arial" w:eastAsia="Times New Roman" w:hAnsi="Arial" w:cs="Arial"/>
                <w:sz w:val="24"/>
                <w:szCs w:val="24"/>
              </w:rPr>
            </w:pPr>
            <w:r>
              <w:rPr>
                <w:rFonts w:ascii="Arial" w:eastAsia="Times New Roman" w:hAnsi="Arial" w:cs="Arial"/>
                <w:sz w:val="24"/>
                <w:szCs w:val="24"/>
              </w:rPr>
              <w:t xml:space="preserve">Dedicated Session for appointed approved providers regarding equalities and Diversity during supplier briefing sessions </w:t>
            </w:r>
          </w:p>
        </w:tc>
        <w:tc>
          <w:tcPr>
            <w:tcW w:w="2551" w:type="dxa"/>
            <w:tcMar>
              <w:left w:w="57" w:type="dxa"/>
              <w:right w:w="57" w:type="dxa"/>
            </w:tcMar>
          </w:tcPr>
          <w:p w14:paraId="71B04775"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Gender Reassignment</w:t>
            </w:r>
          </w:p>
          <w:p w14:paraId="12B24FF7"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5DB26A81"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20ACC469"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1EF7B90D"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2082F773"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077167C6" w14:textId="5B5BB471"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24A6BDF8" w14:textId="68263FB2" w:rsidR="00113DA7" w:rsidRDefault="00113DA7" w:rsidP="00113DA7">
            <w:pPr>
              <w:spacing w:before="120" w:after="120"/>
              <w:rPr>
                <w:rFonts w:ascii="Arial" w:eastAsia="Times New Roman" w:hAnsi="Arial" w:cs="Arial"/>
                <w:sz w:val="24"/>
                <w:szCs w:val="24"/>
              </w:rPr>
            </w:pPr>
            <w:r>
              <w:rPr>
                <w:rFonts w:ascii="Arial" w:eastAsia="Times New Roman" w:hAnsi="Arial" w:cs="Arial"/>
                <w:sz w:val="24"/>
                <w:szCs w:val="24"/>
              </w:rPr>
              <w:t xml:space="preserve">Inclusive approach and increased numbers from groups from each of the approved providers </w:t>
            </w:r>
          </w:p>
        </w:tc>
        <w:tc>
          <w:tcPr>
            <w:tcW w:w="2835" w:type="dxa"/>
            <w:tcMar>
              <w:left w:w="57" w:type="dxa"/>
              <w:right w:w="57" w:type="dxa"/>
            </w:tcMar>
          </w:tcPr>
          <w:p w14:paraId="1E66780B" w14:textId="77777777" w:rsidR="00113DA7" w:rsidRDefault="00113DA7" w:rsidP="00113DA7">
            <w:pPr>
              <w:pStyle w:val="SDSHeading"/>
              <w:spacing w:before="120" w:after="120" w:line="20" w:lineRule="atLeast"/>
              <w:rPr>
                <w:b w:val="0"/>
              </w:rPr>
            </w:pPr>
            <w:r>
              <w:rPr>
                <w:b w:val="0"/>
              </w:rPr>
              <w:t>Pace Tracker Reports from Year 1 and 2 baselines</w:t>
            </w:r>
          </w:p>
          <w:p w14:paraId="2BD29EEC" w14:textId="77777777" w:rsidR="00113DA7" w:rsidRPr="00526977" w:rsidRDefault="00113DA7" w:rsidP="00113DA7">
            <w:pPr>
              <w:pStyle w:val="SDSHeading"/>
              <w:spacing w:before="120" w:after="120" w:line="20" w:lineRule="atLeast"/>
              <w:rPr>
                <w:rFonts w:cs="Arial"/>
                <w:b w:val="0"/>
                <w:szCs w:val="24"/>
              </w:rPr>
            </w:pPr>
          </w:p>
        </w:tc>
        <w:tc>
          <w:tcPr>
            <w:tcW w:w="1843" w:type="dxa"/>
            <w:tcMar>
              <w:left w:w="57" w:type="dxa"/>
              <w:right w:w="57" w:type="dxa"/>
            </w:tcMar>
          </w:tcPr>
          <w:p w14:paraId="5C17F272"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4A2796AE" w14:textId="77777777" w:rsidR="00113DA7" w:rsidRPr="00526977" w:rsidRDefault="00113DA7" w:rsidP="00113DA7">
            <w:pPr>
              <w:pStyle w:val="SDSHeading"/>
              <w:spacing w:before="120" w:after="120" w:line="20" w:lineRule="atLeast"/>
              <w:rPr>
                <w:rFonts w:cs="Arial"/>
                <w:b w:val="0"/>
                <w:szCs w:val="24"/>
              </w:rPr>
            </w:pPr>
          </w:p>
        </w:tc>
      </w:tr>
      <w:tr w:rsidR="00113DA7" w14:paraId="586E627E" w14:textId="77777777" w:rsidTr="00113DA7">
        <w:trPr>
          <w:cantSplit/>
        </w:trPr>
        <w:tc>
          <w:tcPr>
            <w:tcW w:w="4390" w:type="dxa"/>
            <w:tcMar>
              <w:left w:w="57" w:type="dxa"/>
              <w:right w:w="57" w:type="dxa"/>
            </w:tcMar>
          </w:tcPr>
          <w:p w14:paraId="71C1DA74" w14:textId="77777777" w:rsidR="00113DA7" w:rsidRDefault="00113DA7" w:rsidP="00113DA7">
            <w:pPr>
              <w:pStyle w:val="SDSHeading"/>
              <w:spacing w:before="120" w:after="120" w:line="20" w:lineRule="atLeast"/>
              <w:rPr>
                <w:b w:val="0"/>
              </w:rPr>
            </w:pPr>
            <w:r>
              <w:rPr>
                <w:b w:val="0"/>
              </w:rPr>
              <w:t>Engaging with advocacy organisations and support groups to promote the opportunity</w:t>
            </w:r>
          </w:p>
          <w:p w14:paraId="0CC757A2" w14:textId="1DBCDEF3" w:rsidR="00113DA7" w:rsidRDefault="00113DA7" w:rsidP="00113DA7">
            <w:pPr>
              <w:spacing w:before="120" w:after="120"/>
              <w:rPr>
                <w:rFonts w:ascii="Arial" w:eastAsia="Times New Roman" w:hAnsi="Arial" w:cs="Arial"/>
                <w:sz w:val="24"/>
                <w:szCs w:val="24"/>
              </w:rPr>
            </w:pPr>
          </w:p>
        </w:tc>
        <w:tc>
          <w:tcPr>
            <w:tcW w:w="2551" w:type="dxa"/>
            <w:tcMar>
              <w:left w:w="57" w:type="dxa"/>
              <w:right w:w="57" w:type="dxa"/>
            </w:tcMar>
          </w:tcPr>
          <w:p w14:paraId="5679A3CA" w14:textId="0BD3115C"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Race</w:t>
            </w:r>
          </w:p>
        </w:tc>
        <w:tc>
          <w:tcPr>
            <w:tcW w:w="2977" w:type="dxa"/>
            <w:tcMar>
              <w:left w:w="57" w:type="dxa"/>
              <w:right w:w="57" w:type="dxa"/>
            </w:tcMar>
          </w:tcPr>
          <w:p w14:paraId="138D503B" w14:textId="2C8D18F6" w:rsidR="00113DA7" w:rsidRDefault="00113DA7" w:rsidP="00113DA7">
            <w:pPr>
              <w:spacing w:before="120" w:after="120"/>
              <w:rPr>
                <w:rFonts w:ascii="Arial" w:eastAsia="Times New Roman" w:hAnsi="Arial" w:cs="Arial"/>
                <w:sz w:val="24"/>
                <w:szCs w:val="24"/>
              </w:rPr>
            </w:pPr>
            <w:r>
              <w:rPr>
                <w:rFonts w:ascii="Arial" w:eastAsia="Times New Roman" w:hAnsi="Arial" w:cs="Arial"/>
                <w:sz w:val="24"/>
                <w:szCs w:val="24"/>
              </w:rPr>
              <w:t>Increased awareness of the opportunity</w:t>
            </w:r>
          </w:p>
        </w:tc>
        <w:tc>
          <w:tcPr>
            <w:tcW w:w="2835" w:type="dxa"/>
            <w:tcMar>
              <w:left w:w="57" w:type="dxa"/>
              <w:right w:w="57" w:type="dxa"/>
            </w:tcMar>
          </w:tcPr>
          <w:p w14:paraId="3C036B89" w14:textId="77777777" w:rsidR="00113DA7" w:rsidRDefault="00113DA7" w:rsidP="00113DA7">
            <w:pPr>
              <w:pStyle w:val="SDSHeading"/>
              <w:spacing w:before="120" w:after="120" w:line="20" w:lineRule="atLeast"/>
              <w:rPr>
                <w:b w:val="0"/>
              </w:rPr>
            </w:pPr>
            <w:r>
              <w:rPr>
                <w:b w:val="0"/>
              </w:rPr>
              <w:t>Pace Tracker Reports from Year 1 and 2 baselines</w:t>
            </w:r>
          </w:p>
          <w:p w14:paraId="2F4BA4BA" w14:textId="77777777" w:rsidR="00113DA7" w:rsidRDefault="00113DA7" w:rsidP="00113DA7">
            <w:pPr>
              <w:pStyle w:val="SDSHeading"/>
              <w:spacing w:before="120" w:after="120" w:line="20" w:lineRule="atLeast"/>
              <w:rPr>
                <w:b w:val="0"/>
              </w:rPr>
            </w:pPr>
          </w:p>
        </w:tc>
        <w:tc>
          <w:tcPr>
            <w:tcW w:w="1843" w:type="dxa"/>
            <w:tcMar>
              <w:left w:w="57" w:type="dxa"/>
              <w:right w:w="57" w:type="dxa"/>
            </w:tcMar>
          </w:tcPr>
          <w:p w14:paraId="6A413C43"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03FB3D61" w14:textId="77777777" w:rsidR="00113DA7" w:rsidRDefault="00113DA7" w:rsidP="00113DA7">
            <w:pPr>
              <w:pStyle w:val="SDSHeading"/>
              <w:spacing w:before="120" w:after="120" w:line="20" w:lineRule="atLeast"/>
              <w:rPr>
                <w:b w:val="0"/>
              </w:rPr>
            </w:pPr>
          </w:p>
        </w:tc>
      </w:tr>
      <w:tr w:rsidR="00113DA7" w14:paraId="4F65D3EF" w14:textId="77777777" w:rsidTr="00113DA7">
        <w:trPr>
          <w:cantSplit/>
        </w:trPr>
        <w:tc>
          <w:tcPr>
            <w:tcW w:w="4390" w:type="dxa"/>
            <w:tcMar>
              <w:left w:w="57" w:type="dxa"/>
              <w:right w:w="57" w:type="dxa"/>
            </w:tcMar>
          </w:tcPr>
          <w:p w14:paraId="239FBDF9" w14:textId="63B1B9D8" w:rsidR="00113DA7" w:rsidRDefault="00113DA7" w:rsidP="00113DA7">
            <w:pPr>
              <w:spacing w:before="120" w:after="120"/>
              <w:rPr>
                <w:rFonts w:ascii="Arial" w:eastAsia="Times New Roman" w:hAnsi="Arial" w:cs="Arial"/>
                <w:sz w:val="24"/>
                <w:szCs w:val="24"/>
              </w:rPr>
            </w:pPr>
            <w:r>
              <w:rPr>
                <w:rFonts w:ascii="Arial" w:hAnsi="Arial" w:cs="Arial"/>
                <w:sz w:val="24"/>
                <w:szCs w:val="24"/>
              </w:rPr>
              <w:lastRenderedPageBreak/>
              <w:t xml:space="preserve">Ensure a rigorous monitoring process is developed </w:t>
            </w:r>
            <w:r>
              <w:rPr>
                <w:rFonts w:ascii="Arial" w:eastAsia="Times New Roman" w:hAnsi="Arial" w:cs="Arial"/>
                <w:sz w:val="24"/>
                <w:szCs w:val="24"/>
              </w:rPr>
              <w:t>Ensure application forms and equality monitoring follow inclusive practise and EHRC guidance</w:t>
            </w:r>
          </w:p>
        </w:tc>
        <w:tc>
          <w:tcPr>
            <w:tcW w:w="2551" w:type="dxa"/>
            <w:tcMar>
              <w:left w:w="57" w:type="dxa"/>
              <w:right w:w="57" w:type="dxa"/>
            </w:tcMar>
          </w:tcPr>
          <w:p w14:paraId="4247B4E0" w14:textId="353732E3" w:rsidR="00113DA7" w:rsidRDefault="00113DA7" w:rsidP="00113DA7">
            <w:pPr>
              <w:spacing w:before="120" w:after="120"/>
              <w:ind w:right="170"/>
              <w:rPr>
                <w:rFonts w:ascii="Arial" w:eastAsia="Times New Roman" w:hAnsi="Arial" w:cs="Arial"/>
                <w:sz w:val="24"/>
                <w:szCs w:val="24"/>
              </w:rPr>
            </w:pPr>
            <w:r>
              <w:rPr>
                <w:rFonts w:ascii="Arial" w:hAnsi="Arial" w:cs="Arial"/>
                <w:sz w:val="24"/>
                <w:szCs w:val="24"/>
              </w:rPr>
              <w:t>All groups</w:t>
            </w:r>
          </w:p>
        </w:tc>
        <w:tc>
          <w:tcPr>
            <w:tcW w:w="2977" w:type="dxa"/>
            <w:tcMar>
              <w:left w:w="57" w:type="dxa"/>
              <w:right w:w="57" w:type="dxa"/>
            </w:tcMar>
          </w:tcPr>
          <w:p w14:paraId="53F2D0C9" w14:textId="46142CDA" w:rsidR="00113DA7" w:rsidRPr="003F1D4D" w:rsidRDefault="00113DA7" w:rsidP="00113DA7">
            <w:pPr>
              <w:spacing w:before="120" w:after="120"/>
              <w:rPr>
                <w:rFonts w:ascii="Arial" w:eastAsia="Times New Roman" w:hAnsi="Arial" w:cs="Arial"/>
                <w:sz w:val="24"/>
                <w:szCs w:val="24"/>
              </w:rPr>
            </w:pPr>
            <w:r>
              <w:rPr>
                <w:rFonts w:ascii="Arial" w:hAnsi="Arial" w:cs="Arial"/>
                <w:sz w:val="24"/>
                <w:szCs w:val="24"/>
              </w:rPr>
              <w:t>Trends will be able to demonstrate who is participating in the programme, allowing for proactive action to be taken on increasing focus on specific groups if required</w:t>
            </w:r>
          </w:p>
        </w:tc>
        <w:tc>
          <w:tcPr>
            <w:tcW w:w="2835" w:type="dxa"/>
            <w:tcMar>
              <w:left w:w="57" w:type="dxa"/>
              <w:right w:w="57" w:type="dxa"/>
            </w:tcMar>
          </w:tcPr>
          <w:p w14:paraId="25409FF0" w14:textId="0F098E86" w:rsidR="00113DA7" w:rsidRDefault="00113DA7" w:rsidP="00113DA7">
            <w:pPr>
              <w:spacing w:before="120" w:after="120"/>
              <w:rPr>
                <w:rFonts w:ascii="Arial" w:eastAsia="Times New Roman" w:hAnsi="Arial" w:cs="Arial"/>
                <w:sz w:val="24"/>
                <w:szCs w:val="24"/>
              </w:rPr>
            </w:pPr>
            <w:r>
              <w:rPr>
                <w:rFonts w:ascii="Arial" w:hAnsi="Arial" w:cs="Arial"/>
                <w:sz w:val="24"/>
                <w:szCs w:val="24"/>
              </w:rPr>
              <w:t>Trend analysis of equality monitoring reporting</w:t>
            </w:r>
          </w:p>
        </w:tc>
        <w:tc>
          <w:tcPr>
            <w:tcW w:w="1843" w:type="dxa"/>
            <w:tcMar>
              <w:left w:w="57" w:type="dxa"/>
              <w:right w:w="57" w:type="dxa"/>
            </w:tcMar>
          </w:tcPr>
          <w:p w14:paraId="3B4489C3" w14:textId="7CAD70A9" w:rsidR="00113DA7" w:rsidRDefault="00113DA7" w:rsidP="00113DA7">
            <w:pPr>
              <w:spacing w:before="120" w:after="120"/>
              <w:rPr>
                <w:rFonts w:ascii="Arial" w:eastAsia="Times New Roman" w:hAnsi="Arial" w:cs="Arial"/>
                <w:sz w:val="24"/>
                <w:szCs w:val="24"/>
              </w:rPr>
            </w:pPr>
            <w:r>
              <w:rPr>
                <w:rFonts w:ascii="Arial" w:hAnsi="Arial" w:cs="Arial"/>
                <w:sz w:val="24"/>
                <w:szCs w:val="24"/>
              </w:rPr>
              <w:t>Throughout the programme</w:t>
            </w:r>
          </w:p>
        </w:tc>
      </w:tr>
      <w:tr w:rsidR="00113DA7" w14:paraId="003E9940" w14:textId="77777777" w:rsidTr="00113DA7">
        <w:trPr>
          <w:cantSplit/>
        </w:trPr>
        <w:tc>
          <w:tcPr>
            <w:tcW w:w="4390" w:type="dxa"/>
            <w:tcMar>
              <w:left w:w="57" w:type="dxa"/>
              <w:right w:w="57" w:type="dxa"/>
            </w:tcMar>
          </w:tcPr>
          <w:p w14:paraId="126D4576" w14:textId="263F2D5A" w:rsidR="00113DA7" w:rsidRPr="00A95E7F" w:rsidRDefault="00113DA7" w:rsidP="00113DA7">
            <w:pPr>
              <w:spacing w:before="120" w:after="120"/>
              <w:rPr>
                <w:rFonts w:ascii="Arial" w:hAnsi="Arial" w:cs="Arial"/>
                <w:sz w:val="24"/>
                <w:szCs w:val="24"/>
              </w:rPr>
            </w:pPr>
            <w:r w:rsidRPr="006E085E">
              <w:rPr>
                <w:rFonts w:ascii="Arial" w:hAnsi="Arial" w:cs="Arial"/>
              </w:rPr>
              <w:t>Marketing and Comms from SDS and Approved providers are aligned to th</w:t>
            </w:r>
            <w:r>
              <w:rPr>
                <w:rFonts w:ascii="Arial" w:hAnsi="Arial" w:cs="Arial"/>
              </w:rPr>
              <w:t>ese</w:t>
            </w:r>
            <w:r w:rsidRPr="006E085E">
              <w:rPr>
                <w:rFonts w:ascii="Arial" w:hAnsi="Arial" w:cs="Arial"/>
              </w:rPr>
              <w:t xml:space="preserve"> group</w:t>
            </w:r>
            <w:r>
              <w:rPr>
                <w:rFonts w:ascii="Arial" w:hAnsi="Arial" w:cs="Arial"/>
              </w:rPr>
              <w:t xml:space="preserve">s, and case studies developed. This must include Gaelic translation </w:t>
            </w:r>
          </w:p>
        </w:tc>
        <w:tc>
          <w:tcPr>
            <w:tcW w:w="2551" w:type="dxa"/>
            <w:tcMar>
              <w:left w:w="57" w:type="dxa"/>
              <w:right w:w="57" w:type="dxa"/>
            </w:tcMar>
          </w:tcPr>
          <w:p w14:paraId="17367B64" w14:textId="77777777" w:rsidR="00113DA7" w:rsidRDefault="00113DA7" w:rsidP="00113DA7">
            <w:pPr>
              <w:spacing w:before="120" w:after="120"/>
              <w:rPr>
                <w:rFonts w:ascii="Arial" w:hAnsi="Arial" w:cs="Arial"/>
                <w:sz w:val="24"/>
                <w:szCs w:val="24"/>
              </w:rPr>
            </w:pPr>
            <w:r>
              <w:rPr>
                <w:rFonts w:ascii="Arial" w:hAnsi="Arial" w:cs="Arial"/>
                <w:sz w:val="24"/>
                <w:szCs w:val="24"/>
              </w:rPr>
              <w:t xml:space="preserve">Age </w:t>
            </w:r>
          </w:p>
          <w:p w14:paraId="20285E22" w14:textId="77777777" w:rsidR="00113DA7" w:rsidRDefault="00113DA7" w:rsidP="00113DA7">
            <w:pPr>
              <w:spacing w:before="120" w:after="120"/>
              <w:ind w:right="170"/>
              <w:rPr>
                <w:rFonts w:ascii="Arial" w:eastAsia="Times New Roman" w:hAnsi="Arial" w:cs="Arial"/>
                <w:sz w:val="24"/>
                <w:szCs w:val="24"/>
              </w:rPr>
            </w:pPr>
            <w:r>
              <w:rPr>
                <w:rFonts w:ascii="Arial" w:hAnsi="Arial" w:cs="Arial"/>
                <w:sz w:val="24"/>
                <w:szCs w:val="24"/>
              </w:rPr>
              <w:t>Disability</w:t>
            </w:r>
            <w:r>
              <w:rPr>
                <w:rFonts w:ascii="Arial" w:eastAsia="Times New Roman" w:hAnsi="Arial" w:cs="Arial"/>
                <w:sz w:val="24"/>
                <w:szCs w:val="24"/>
              </w:rPr>
              <w:t xml:space="preserve"> Gender Reassignment</w:t>
            </w:r>
          </w:p>
          <w:p w14:paraId="47AFF7AC"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44BD599A"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2F2333CD"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7487048E"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7AC6A78E"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050E8388" w14:textId="3216E90C" w:rsidR="00113DA7" w:rsidRPr="00A95E7F" w:rsidRDefault="00113DA7" w:rsidP="00113DA7">
            <w:pPr>
              <w:spacing w:before="120" w:after="120"/>
              <w:rPr>
                <w:rFonts w:ascii="Arial"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18D8ACB5" w14:textId="320F6990" w:rsidR="00113DA7" w:rsidRPr="00A95E7F" w:rsidRDefault="00113DA7" w:rsidP="00113DA7">
            <w:pPr>
              <w:spacing w:before="120" w:after="120"/>
              <w:rPr>
                <w:rFonts w:ascii="Arial" w:hAnsi="Arial" w:cs="Arial"/>
                <w:sz w:val="24"/>
                <w:szCs w:val="24"/>
              </w:rPr>
            </w:pPr>
            <w:r>
              <w:rPr>
                <w:rFonts w:ascii="Arial" w:hAnsi="Arial" w:cs="Arial"/>
                <w:sz w:val="24"/>
                <w:szCs w:val="24"/>
              </w:rPr>
              <w:t>Engagement with DSP</w:t>
            </w:r>
          </w:p>
        </w:tc>
        <w:tc>
          <w:tcPr>
            <w:tcW w:w="2835" w:type="dxa"/>
            <w:tcMar>
              <w:left w:w="57" w:type="dxa"/>
              <w:right w:w="57" w:type="dxa"/>
            </w:tcMar>
          </w:tcPr>
          <w:p w14:paraId="149EBDD9" w14:textId="77777777" w:rsidR="00113DA7" w:rsidRDefault="00113DA7" w:rsidP="00113DA7">
            <w:pPr>
              <w:spacing w:before="120" w:after="120"/>
              <w:rPr>
                <w:rFonts w:ascii="Arial" w:hAnsi="Arial" w:cs="Arial"/>
                <w:sz w:val="24"/>
                <w:szCs w:val="24"/>
              </w:rPr>
            </w:pPr>
            <w:r>
              <w:rPr>
                <w:rFonts w:ascii="Arial" w:hAnsi="Arial" w:cs="Arial"/>
                <w:sz w:val="24"/>
                <w:szCs w:val="24"/>
              </w:rPr>
              <w:t>Feedback on marketing metrics</w:t>
            </w:r>
          </w:p>
          <w:p w14:paraId="4B666D5A" w14:textId="28E5EF8C" w:rsidR="00113DA7" w:rsidRPr="00A95E7F" w:rsidRDefault="00113DA7" w:rsidP="00113DA7">
            <w:pPr>
              <w:spacing w:before="120" w:after="120"/>
              <w:rPr>
                <w:rFonts w:ascii="Arial" w:hAnsi="Arial" w:cs="Arial"/>
                <w:sz w:val="24"/>
                <w:szCs w:val="24"/>
              </w:rPr>
            </w:pPr>
            <w:r>
              <w:rPr>
                <w:rFonts w:ascii="Arial" w:hAnsi="Arial" w:cs="Arial"/>
                <w:sz w:val="24"/>
                <w:szCs w:val="24"/>
              </w:rPr>
              <w:t>Referrals and update of programme</w:t>
            </w:r>
          </w:p>
        </w:tc>
        <w:tc>
          <w:tcPr>
            <w:tcW w:w="1843" w:type="dxa"/>
            <w:tcMar>
              <w:left w:w="57" w:type="dxa"/>
              <w:right w:w="57" w:type="dxa"/>
            </w:tcMar>
          </w:tcPr>
          <w:p w14:paraId="26DD5E21"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337DE81E" w14:textId="18238CCD" w:rsidR="00113DA7" w:rsidRPr="00A95E7F" w:rsidRDefault="00113DA7" w:rsidP="00113DA7">
            <w:pPr>
              <w:spacing w:before="120" w:after="120"/>
              <w:rPr>
                <w:rFonts w:ascii="Arial" w:hAnsi="Arial" w:cs="Arial"/>
                <w:sz w:val="24"/>
                <w:szCs w:val="24"/>
              </w:rPr>
            </w:pPr>
          </w:p>
        </w:tc>
      </w:tr>
      <w:tr w:rsidR="00113DA7" w14:paraId="0610D75B" w14:textId="77777777" w:rsidTr="00113DA7">
        <w:trPr>
          <w:cantSplit/>
        </w:trPr>
        <w:tc>
          <w:tcPr>
            <w:tcW w:w="4390" w:type="dxa"/>
            <w:tcMar>
              <w:left w:w="57" w:type="dxa"/>
              <w:right w:w="57" w:type="dxa"/>
            </w:tcMar>
          </w:tcPr>
          <w:p w14:paraId="038A67B4" w14:textId="2667E14E" w:rsidR="00113DA7" w:rsidRPr="006E085E" w:rsidRDefault="00113DA7" w:rsidP="00113DA7">
            <w:pPr>
              <w:spacing w:before="120" w:after="120"/>
              <w:rPr>
                <w:rFonts w:ascii="Arial" w:hAnsi="Arial" w:cs="Arial"/>
              </w:rPr>
            </w:pPr>
            <w:r>
              <w:rPr>
                <w:rFonts w:ascii="Arial" w:hAnsi="Arial" w:cs="Arial"/>
              </w:rPr>
              <w:lastRenderedPageBreak/>
              <w:t xml:space="preserve">Digital Poverty – ensure all candidates are aware of Connecting Scotland and If approved provider is a college to ensure have highlighted support </w:t>
            </w:r>
          </w:p>
        </w:tc>
        <w:tc>
          <w:tcPr>
            <w:tcW w:w="2551" w:type="dxa"/>
            <w:tcMar>
              <w:left w:w="57" w:type="dxa"/>
              <w:right w:w="57" w:type="dxa"/>
            </w:tcMar>
          </w:tcPr>
          <w:p w14:paraId="4CC7D64F" w14:textId="77777777" w:rsidR="00113DA7" w:rsidRDefault="00113DA7" w:rsidP="00113DA7">
            <w:pPr>
              <w:spacing w:before="120" w:after="120"/>
              <w:rPr>
                <w:rFonts w:ascii="Arial" w:hAnsi="Arial" w:cs="Arial"/>
                <w:sz w:val="24"/>
                <w:szCs w:val="24"/>
              </w:rPr>
            </w:pPr>
            <w:r>
              <w:rPr>
                <w:rFonts w:ascii="Arial" w:hAnsi="Arial" w:cs="Arial"/>
                <w:sz w:val="24"/>
                <w:szCs w:val="24"/>
              </w:rPr>
              <w:t xml:space="preserve">Age </w:t>
            </w:r>
          </w:p>
          <w:p w14:paraId="2975615A" w14:textId="77777777" w:rsidR="00113DA7" w:rsidRDefault="00113DA7" w:rsidP="00113DA7">
            <w:pPr>
              <w:spacing w:before="120" w:after="120"/>
              <w:ind w:right="170"/>
              <w:rPr>
                <w:rFonts w:ascii="Arial" w:eastAsia="Times New Roman" w:hAnsi="Arial" w:cs="Arial"/>
                <w:sz w:val="24"/>
                <w:szCs w:val="24"/>
              </w:rPr>
            </w:pPr>
            <w:r>
              <w:rPr>
                <w:rFonts w:ascii="Arial" w:hAnsi="Arial" w:cs="Arial"/>
                <w:sz w:val="24"/>
                <w:szCs w:val="24"/>
              </w:rPr>
              <w:t>Disability</w:t>
            </w:r>
            <w:r>
              <w:rPr>
                <w:rFonts w:ascii="Arial" w:eastAsia="Times New Roman" w:hAnsi="Arial" w:cs="Arial"/>
                <w:sz w:val="24"/>
                <w:szCs w:val="24"/>
              </w:rPr>
              <w:t xml:space="preserve"> Gender Reassignment</w:t>
            </w:r>
          </w:p>
          <w:p w14:paraId="17248C92"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70316C77"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331B109C"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3059026C"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61BEA33A" w14:textId="77777777" w:rsidR="00113DA7" w:rsidRDefault="00113DA7" w:rsidP="00113DA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6FB9098D" w14:textId="6988D889" w:rsidR="00113DA7" w:rsidRDefault="00113DA7" w:rsidP="00113DA7">
            <w:pPr>
              <w:spacing w:before="120" w:after="120"/>
              <w:rPr>
                <w:rFonts w:ascii="Arial"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28B06A06" w14:textId="7A45BCCB" w:rsidR="00113DA7" w:rsidRPr="00A95E7F" w:rsidRDefault="00113DA7" w:rsidP="00113DA7">
            <w:pPr>
              <w:spacing w:before="120" w:after="120"/>
              <w:rPr>
                <w:rFonts w:ascii="Arial" w:hAnsi="Arial" w:cs="Arial"/>
                <w:sz w:val="24"/>
                <w:szCs w:val="24"/>
              </w:rPr>
            </w:pPr>
            <w:r>
              <w:rPr>
                <w:rFonts w:ascii="Arial" w:hAnsi="Arial" w:cs="Arial"/>
                <w:sz w:val="24"/>
                <w:szCs w:val="24"/>
              </w:rPr>
              <w:t>No one excluded</w:t>
            </w:r>
          </w:p>
        </w:tc>
        <w:tc>
          <w:tcPr>
            <w:tcW w:w="2835" w:type="dxa"/>
            <w:tcMar>
              <w:left w:w="57" w:type="dxa"/>
              <w:right w:w="57" w:type="dxa"/>
            </w:tcMar>
          </w:tcPr>
          <w:p w14:paraId="12E02F24" w14:textId="2A5D6E82" w:rsidR="00113DA7" w:rsidRPr="00A95E7F" w:rsidRDefault="00113DA7" w:rsidP="00113DA7">
            <w:pPr>
              <w:spacing w:before="120" w:after="120"/>
              <w:rPr>
                <w:rFonts w:ascii="Arial" w:hAnsi="Arial" w:cs="Arial"/>
                <w:sz w:val="24"/>
                <w:szCs w:val="24"/>
              </w:rPr>
            </w:pPr>
            <w:r>
              <w:rPr>
                <w:rFonts w:ascii="Arial" w:hAnsi="Arial" w:cs="Arial"/>
                <w:sz w:val="24"/>
                <w:szCs w:val="24"/>
              </w:rPr>
              <w:t xml:space="preserve">Feedback from Approved providers on a monthly basis </w:t>
            </w:r>
          </w:p>
        </w:tc>
        <w:tc>
          <w:tcPr>
            <w:tcW w:w="1843" w:type="dxa"/>
            <w:tcMar>
              <w:left w:w="57" w:type="dxa"/>
              <w:right w:w="57" w:type="dxa"/>
            </w:tcMar>
          </w:tcPr>
          <w:p w14:paraId="5D654332"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3D7D2C14" w14:textId="77777777" w:rsidR="00113DA7" w:rsidRPr="00A95E7F" w:rsidRDefault="00113DA7" w:rsidP="00113DA7">
            <w:pPr>
              <w:spacing w:before="120" w:after="120"/>
              <w:rPr>
                <w:rFonts w:ascii="Arial" w:hAnsi="Arial" w:cs="Arial"/>
                <w:sz w:val="24"/>
                <w:szCs w:val="24"/>
              </w:rPr>
            </w:pPr>
          </w:p>
        </w:tc>
      </w:tr>
      <w:tr w:rsidR="00113DA7" w14:paraId="2857D1D4" w14:textId="77777777" w:rsidTr="00113DA7">
        <w:trPr>
          <w:cantSplit/>
        </w:trPr>
        <w:tc>
          <w:tcPr>
            <w:tcW w:w="4390" w:type="dxa"/>
            <w:tcMar>
              <w:left w:w="57" w:type="dxa"/>
              <w:right w:w="57" w:type="dxa"/>
            </w:tcMar>
          </w:tcPr>
          <w:p w14:paraId="50860F39" w14:textId="0E959BB5" w:rsidR="00113DA7" w:rsidRPr="006E085E" w:rsidRDefault="00113DA7" w:rsidP="00113DA7">
            <w:pPr>
              <w:spacing w:before="120" w:after="120"/>
              <w:rPr>
                <w:rFonts w:ascii="Arial" w:hAnsi="Arial" w:cs="Arial"/>
              </w:rPr>
            </w:pPr>
            <w:r>
              <w:rPr>
                <w:rFonts w:ascii="Arial" w:hAnsi="Arial" w:cs="Arial"/>
                <w:bCs/>
              </w:rPr>
              <w:t xml:space="preserve">Ensuring approved providers build in flexibility of understanding that maybe required </w:t>
            </w:r>
          </w:p>
        </w:tc>
        <w:tc>
          <w:tcPr>
            <w:tcW w:w="2551" w:type="dxa"/>
            <w:tcMar>
              <w:left w:w="57" w:type="dxa"/>
              <w:right w:w="57" w:type="dxa"/>
            </w:tcMar>
          </w:tcPr>
          <w:p w14:paraId="4202EACE" w14:textId="6BE218D4" w:rsidR="00113DA7" w:rsidRDefault="00113DA7" w:rsidP="00113DA7">
            <w:pPr>
              <w:spacing w:before="120" w:after="120"/>
              <w:rPr>
                <w:rFonts w:ascii="Arial" w:hAnsi="Arial" w:cs="Arial"/>
                <w:sz w:val="24"/>
                <w:szCs w:val="24"/>
              </w:rPr>
            </w:pPr>
            <w:r>
              <w:rPr>
                <w:rFonts w:ascii="Arial" w:hAnsi="Arial" w:cs="Arial"/>
                <w:sz w:val="24"/>
                <w:szCs w:val="24"/>
              </w:rPr>
              <w:t xml:space="preserve">Care experience </w:t>
            </w:r>
          </w:p>
        </w:tc>
        <w:tc>
          <w:tcPr>
            <w:tcW w:w="2977" w:type="dxa"/>
            <w:tcMar>
              <w:left w:w="57" w:type="dxa"/>
              <w:right w:w="57" w:type="dxa"/>
            </w:tcMar>
          </w:tcPr>
          <w:p w14:paraId="04F6A64C" w14:textId="28075CC4" w:rsidR="00113DA7" w:rsidRDefault="00113DA7" w:rsidP="00113DA7">
            <w:pPr>
              <w:spacing w:before="120" w:after="120"/>
              <w:rPr>
                <w:rFonts w:ascii="Arial" w:hAnsi="Arial" w:cs="Arial"/>
                <w:sz w:val="24"/>
                <w:szCs w:val="24"/>
              </w:rPr>
            </w:pPr>
            <w:r>
              <w:rPr>
                <w:rFonts w:ascii="Arial" w:hAnsi="Arial" w:cs="Arial"/>
                <w:sz w:val="24"/>
                <w:szCs w:val="24"/>
              </w:rPr>
              <w:t>Individuals</w:t>
            </w:r>
          </w:p>
        </w:tc>
        <w:tc>
          <w:tcPr>
            <w:tcW w:w="2835" w:type="dxa"/>
            <w:tcMar>
              <w:left w:w="57" w:type="dxa"/>
              <w:right w:w="57" w:type="dxa"/>
            </w:tcMar>
          </w:tcPr>
          <w:p w14:paraId="055673B3" w14:textId="3A2A7B3C" w:rsidR="00113DA7" w:rsidRDefault="00113DA7" w:rsidP="00113DA7">
            <w:pPr>
              <w:spacing w:before="120" w:after="120"/>
              <w:rPr>
                <w:rFonts w:ascii="Arial" w:hAnsi="Arial" w:cs="Arial"/>
                <w:sz w:val="24"/>
                <w:szCs w:val="24"/>
              </w:rPr>
            </w:pPr>
            <w:r>
              <w:rPr>
                <w:rFonts w:ascii="Arial" w:hAnsi="Arial" w:cs="Arial"/>
                <w:sz w:val="24"/>
                <w:szCs w:val="24"/>
              </w:rPr>
              <w:t xml:space="preserve">Feedback from Approved providers on a monthly basis </w:t>
            </w:r>
          </w:p>
        </w:tc>
        <w:tc>
          <w:tcPr>
            <w:tcW w:w="1843" w:type="dxa"/>
            <w:tcMar>
              <w:left w:w="57" w:type="dxa"/>
              <w:right w:w="57" w:type="dxa"/>
            </w:tcMar>
          </w:tcPr>
          <w:p w14:paraId="0AC68644"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60A15572" w14:textId="77777777" w:rsidR="00113DA7" w:rsidRDefault="00113DA7" w:rsidP="00113DA7">
            <w:pPr>
              <w:pStyle w:val="SDSHeading"/>
              <w:spacing w:before="120" w:after="120" w:line="20" w:lineRule="atLeast"/>
              <w:rPr>
                <w:b w:val="0"/>
              </w:rPr>
            </w:pPr>
          </w:p>
        </w:tc>
      </w:tr>
      <w:tr w:rsidR="00113DA7" w14:paraId="363B3C69" w14:textId="77777777" w:rsidTr="00113DA7">
        <w:trPr>
          <w:cantSplit/>
        </w:trPr>
        <w:tc>
          <w:tcPr>
            <w:tcW w:w="4390" w:type="dxa"/>
            <w:tcMar>
              <w:left w:w="57" w:type="dxa"/>
              <w:right w:w="57" w:type="dxa"/>
            </w:tcMar>
          </w:tcPr>
          <w:p w14:paraId="3539F592" w14:textId="15F24521" w:rsidR="00113DA7" w:rsidRPr="00B22CF6" w:rsidRDefault="00113DA7" w:rsidP="00113DA7">
            <w:pPr>
              <w:spacing w:before="120" w:after="120"/>
              <w:rPr>
                <w:rFonts w:ascii="Arial" w:hAnsi="Arial" w:cs="Arial"/>
                <w:bCs/>
              </w:rPr>
            </w:pPr>
            <w:r w:rsidRPr="00762818">
              <w:rPr>
                <w:rFonts w:ascii="Arial" w:hAnsi="Arial" w:cs="Arial"/>
                <w:bCs/>
                <w:sz w:val="24"/>
                <w:szCs w:val="24"/>
              </w:rPr>
              <w:lastRenderedPageBreak/>
              <w:t xml:space="preserve">Ensuring approved providers build in flexibility of understanding that maybe required </w:t>
            </w:r>
          </w:p>
        </w:tc>
        <w:tc>
          <w:tcPr>
            <w:tcW w:w="2551" w:type="dxa"/>
            <w:tcMar>
              <w:left w:w="57" w:type="dxa"/>
              <w:right w:w="57" w:type="dxa"/>
            </w:tcMar>
          </w:tcPr>
          <w:p w14:paraId="0B8EB3CA" w14:textId="1C0B83DB" w:rsidR="00113DA7" w:rsidRDefault="00113DA7" w:rsidP="00113DA7">
            <w:pPr>
              <w:spacing w:before="120" w:after="120"/>
              <w:rPr>
                <w:rFonts w:ascii="Arial" w:hAnsi="Arial" w:cs="Arial"/>
                <w:sz w:val="24"/>
                <w:szCs w:val="24"/>
              </w:rPr>
            </w:pPr>
            <w:r>
              <w:rPr>
                <w:rFonts w:ascii="Arial" w:hAnsi="Arial" w:cs="Arial"/>
                <w:sz w:val="24"/>
                <w:szCs w:val="24"/>
              </w:rPr>
              <w:t xml:space="preserve">Care experience </w:t>
            </w:r>
          </w:p>
        </w:tc>
        <w:tc>
          <w:tcPr>
            <w:tcW w:w="2977" w:type="dxa"/>
            <w:tcMar>
              <w:left w:w="57" w:type="dxa"/>
              <w:right w:w="57" w:type="dxa"/>
            </w:tcMar>
          </w:tcPr>
          <w:p w14:paraId="7C940660" w14:textId="0ABF8728" w:rsidR="00113DA7" w:rsidRDefault="00113DA7" w:rsidP="00113DA7">
            <w:pPr>
              <w:spacing w:before="120" w:after="120"/>
              <w:rPr>
                <w:rFonts w:ascii="Arial" w:hAnsi="Arial" w:cs="Arial"/>
                <w:sz w:val="24"/>
                <w:szCs w:val="24"/>
              </w:rPr>
            </w:pPr>
            <w:r>
              <w:rPr>
                <w:rFonts w:ascii="Arial" w:hAnsi="Arial" w:cs="Arial"/>
                <w:sz w:val="24"/>
                <w:szCs w:val="24"/>
              </w:rPr>
              <w:t>Individuals</w:t>
            </w:r>
          </w:p>
        </w:tc>
        <w:tc>
          <w:tcPr>
            <w:tcW w:w="2835" w:type="dxa"/>
            <w:tcMar>
              <w:left w:w="57" w:type="dxa"/>
              <w:right w:w="57" w:type="dxa"/>
            </w:tcMar>
          </w:tcPr>
          <w:p w14:paraId="55C58157" w14:textId="0B76DED4" w:rsidR="00113DA7" w:rsidRDefault="00113DA7" w:rsidP="00113DA7">
            <w:pPr>
              <w:spacing w:before="120" w:after="120"/>
              <w:rPr>
                <w:rFonts w:ascii="Arial" w:hAnsi="Arial" w:cs="Arial"/>
                <w:sz w:val="24"/>
                <w:szCs w:val="24"/>
              </w:rPr>
            </w:pPr>
            <w:r>
              <w:rPr>
                <w:rFonts w:ascii="Arial" w:hAnsi="Arial" w:cs="Arial"/>
                <w:sz w:val="24"/>
                <w:szCs w:val="24"/>
              </w:rPr>
              <w:t xml:space="preserve">Feedback from Approved providers on a monthly basis </w:t>
            </w:r>
          </w:p>
        </w:tc>
        <w:tc>
          <w:tcPr>
            <w:tcW w:w="1843" w:type="dxa"/>
            <w:tcMar>
              <w:left w:w="57" w:type="dxa"/>
              <w:right w:w="57" w:type="dxa"/>
            </w:tcMar>
          </w:tcPr>
          <w:p w14:paraId="71C27817" w14:textId="77777777" w:rsidR="00113DA7" w:rsidRDefault="00113DA7" w:rsidP="00113DA7">
            <w:pPr>
              <w:pStyle w:val="SDSHeading"/>
              <w:spacing w:before="120" w:after="120" w:line="20" w:lineRule="atLeast"/>
              <w:rPr>
                <w:b w:val="0"/>
              </w:rPr>
            </w:pPr>
            <w:r>
              <w:rPr>
                <w:b w:val="0"/>
              </w:rPr>
              <w:t xml:space="preserve">June 2022 when evaluation and consolidation of year 3 delivery is completed </w:t>
            </w:r>
          </w:p>
          <w:p w14:paraId="14FFD92C" w14:textId="77777777" w:rsidR="00113DA7" w:rsidRDefault="00113DA7" w:rsidP="00113DA7">
            <w:pPr>
              <w:pStyle w:val="SDSHeading"/>
              <w:spacing w:before="120" w:after="120" w:line="20" w:lineRule="atLeast"/>
              <w:rPr>
                <w:b w:val="0"/>
              </w:rPr>
            </w:pP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4"/>
      <w:headerReference w:type="first" r:id="rId25"/>
      <w:footerReference w:type="first" r:id="rId26"/>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C5D2" w14:textId="77777777" w:rsidR="00290242" w:rsidRDefault="00290242" w:rsidP="009F7286">
      <w:r>
        <w:separator/>
      </w:r>
    </w:p>
  </w:endnote>
  <w:endnote w:type="continuationSeparator" w:id="0">
    <w:p w14:paraId="31E31E8F" w14:textId="77777777" w:rsidR="00290242" w:rsidRDefault="00290242" w:rsidP="009F7286">
      <w:r>
        <w:continuationSeparator/>
      </w:r>
    </w:p>
  </w:endnote>
  <w:endnote w:type="continuationNotice" w:id="1">
    <w:p w14:paraId="4417F8CB" w14:textId="77777777" w:rsidR="00290242" w:rsidRDefault="00290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088CA" w14:textId="77777777" w:rsidR="00290242" w:rsidRDefault="00290242" w:rsidP="009F7286">
      <w:r>
        <w:separator/>
      </w:r>
    </w:p>
  </w:footnote>
  <w:footnote w:type="continuationSeparator" w:id="0">
    <w:p w14:paraId="70677715" w14:textId="77777777" w:rsidR="00290242" w:rsidRDefault="00290242" w:rsidP="009F7286">
      <w:r>
        <w:continuationSeparator/>
      </w:r>
    </w:p>
  </w:footnote>
  <w:footnote w:type="continuationNotice" w:id="1">
    <w:p w14:paraId="3E6C8D7E" w14:textId="77777777" w:rsidR="00290242" w:rsidRDefault="00290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5BBD"/>
    <w:multiLevelType w:val="hybridMultilevel"/>
    <w:tmpl w:val="64A0A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D63F3"/>
    <w:multiLevelType w:val="hybridMultilevel"/>
    <w:tmpl w:val="613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B9000A"/>
    <w:multiLevelType w:val="hybridMultilevel"/>
    <w:tmpl w:val="5F0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2847"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D910D5"/>
    <w:multiLevelType w:val="hybridMultilevel"/>
    <w:tmpl w:val="DCF88FCC"/>
    <w:lvl w:ilvl="0" w:tplc="1E04D0A2">
      <w:start w:val="1"/>
      <w:numFmt w:val="bullet"/>
      <w:lvlText w:val="•"/>
      <w:lvlJc w:val="left"/>
      <w:pPr>
        <w:tabs>
          <w:tab w:val="num" w:pos="720"/>
        </w:tabs>
        <w:ind w:left="720" w:hanging="360"/>
      </w:pPr>
      <w:rPr>
        <w:rFonts w:ascii="Times New Roman" w:hAnsi="Times New Roman" w:hint="default"/>
      </w:rPr>
    </w:lvl>
    <w:lvl w:ilvl="1" w:tplc="4D7629AE" w:tentative="1">
      <w:start w:val="1"/>
      <w:numFmt w:val="bullet"/>
      <w:lvlText w:val="•"/>
      <w:lvlJc w:val="left"/>
      <w:pPr>
        <w:tabs>
          <w:tab w:val="num" w:pos="1440"/>
        </w:tabs>
        <w:ind w:left="1440" w:hanging="360"/>
      </w:pPr>
      <w:rPr>
        <w:rFonts w:ascii="Times New Roman" w:hAnsi="Times New Roman" w:hint="default"/>
      </w:rPr>
    </w:lvl>
    <w:lvl w:ilvl="2" w:tplc="5D9803F8" w:tentative="1">
      <w:start w:val="1"/>
      <w:numFmt w:val="bullet"/>
      <w:lvlText w:val="•"/>
      <w:lvlJc w:val="left"/>
      <w:pPr>
        <w:tabs>
          <w:tab w:val="num" w:pos="2160"/>
        </w:tabs>
        <w:ind w:left="2160" w:hanging="360"/>
      </w:pPr>
      <w:rPr>
        <w:rFonts w:ascii="Times New Roman" w:hAnsi="Times New Roman" w:hint="default"/>
      </w:rPr>
    </w:lvl>
    <w:lvl w:ilvl="3" w:tplc="9DBA94F6" w:tentative="1">
      <w:start w:val="1"/>
      <w:numFmt w:val="bullet"/>
      <w:lvlText w:val="•"/>
      <w:lvlJc w:val="left"/>
      <w:pPr>
        <w:tabs>
          <w:tab w:val="num" w:pos="2880"/>
        </w:tabs>
        <w:ind w:left="2880" w:hanging="360"/>
      </w:pPr>
      <w:rPr>
        <w:rFonts w:ascii="Times New Roman" w:hAnsi="Times New Roman" w:hint="default"/>
      </w:rPr>
    </w:lvl>
    <w:lvl w:ilvl="4" w:tplc="2B5016F0" w:tentative="1">
      <w:start w:val="1"/>
      <w:numFmt w:val="bullet"/>
      <w:lvlText w:val="•"/>
      <w:lvlJc w:val="left"/>
      <w:pPr>
        <w:tabs>
          <w:tab w:val="num" w:pos="3600"/>
        </w:tabs>
        <w:ind w:left="3600" w:hanging="360"/>
      </w:pPr>
      <w:rPr>
        <w:rFonts w:ascii="Times New Roman" w:hAnsi="Times New Roman" w:hint="default"/>
      </w:rPr>
    </w:lvl>
    <w:lvl w:ilvl="5" w:tplc="695A0074" w:tentative="1">
      <w:start w:val="1"/>
      <w:numFmt w:val="bullet"/>
      <w:lvlText w:val="•"/>
      <w:lvlJc w:val="left"/>
      <w:pPr>
        <w:tabs>
          <w:tab w:val="num" w:pos="4320"/>
        </w:tabs>
        <w:ind w:left="4320" w:hanging="360"/>
      </w:pPr>
      <w:rPr>
        <w:rFonts w:ascii="Times New Roman" w:hAnsi="Times New Roman" w:hint="default"/>
      </w:rPr>
    </w:lvl>
    <w:lvl w:ilvl="6" w:tplc="ACAE17AA" w:tentative="1">
      <w:start w:val="1"/>
      <w:numFmt w:val="bullet"/>
      <w:lvlText w:val="•"/>
      <w:lvlJc w:val="left"/>
      <w:pPr>
        <w:tabs>
          <w:tab w:val="num" w:pos="5040"/>
        </w:tabs>
        <w:ind w:left="5040" w:hanging="360"/>
      </w:pPr>
      <w:rPr>
        <w:rFonts w:ascii="Times New Roman" w:hAnsi="Times New Roman" w:hint="default"/>
      </w:rPr>
    </w:lvl>
    <w:lvl w:ilvl="7" w:tplc="18CA5154" w:tentative="1">
      <w:start w:val="1"/>
      <w:numFmt w:val="bullet"/>
      <w:lvlText w:val="•"/>
      <w:lvlJc w:val="left"/>
      <w:pPr>
        <w:tabs>
          <w:tab w:val="num" w:pos="5760"/>
        </w:tabs>
        <w:ind w:left="5760" w:hanging="360"/>
      </w:pPr>
      <w:rPr>
        <w:rFonts w:ascii="Times New Roman" w:hAnsi="Times New Roman" w:hint="default"/>
      </w:rPr>
    </w:lvl>
    <w:lvl w:ilvl="8" w:tplc="7C1CD9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35410"/>
    <w:multiLevelType w:val="hybridMultilevel"/>
    <w:tmpl w:val="F15E3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6"/>
  </w:num>
  <w:num w:numId="6">
    <w:abstractNumId w:val="1"/>
  </w:num>
  <w:num w:numId="7">
    <w:abstractNumId w:val="11"/>
  </w:num>
  <w:num w:numId="8">
    <w:abstractNumId w:val="2"/>
  </w:num>
  <w:num w:numId="9">
    <w:abstractNumId w:val="5"/>
  </w:num>
  <w:num w:numId="10">
    <w:abstractNumId w:val="10"/>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4615"/>
    <w:rsid w:val="00032BCB"/>
    <w:rsid w:val="00040C9E"/>
    <w:rsid w:val="00053688"/>
    <w:rsid w:val="00054278"/>
    <w:rsid w:val="00056696"/>
    <w:rsid w:val="000566E6"/>
    <w:rsid w:val="00056EDB"/>
    <w:rsid w:val="0006035E"/>
    <w:rsid w:val="00060D64"/>
    <w:rsid w:val="00064AFF"/>
    <w:rsid w:val="00066F77"/>
    <w:rsid w:val="0007240E"/>
    <w:rsid w:val="0007301C"/>
    <w:rsid w:val="00076BD8"/>
    <w:rsid w:val="00077FCD"/>
    <w:rsid w:val="000808C0"/>
    <w:rsid w:val="00080D12"/>
    <w:rsid w:val="00082FA2"/>
    <w:rsid w:val="0009167C"/>
    <w:rsid w:val="00093AB2"/>
    <w:rsid w:val="00093F45"/>
    <w:rsid w:val="000A0F72"/>
    <w:rsid w:val="000A1033"/>
    <w:rsid w:val="000A391A"/>
    <w:rsid w:val="000A72D6"/>
    <w:rsid w:val="000B06E7"/>
    <w:rsid w:val="000B28D4"/>
    <w:rsid w:val="000C03F2"/>
    <w:rsid w:val="000C04F9"/>
    <w:rsid w:val="000C1245"/>
    <w:rsid w:val="000D710D"/>
    <w:rsid w:val="000E09E5"/>
    <w:rsid w:val="000E1403"/>
    <w:rsid w:val="000E317D"/>
    <w:rsid w:val="000F3A78"/>
    <w:rsid w:val="000F5C63"/>
    <w:rsid w:val="00107E99"/>
    <w:rsid w:val="00113DA7"/>
    <w:rsid w:val="001162E9"/>
    <w:rsid w:val="001221AF"/>
    <w:rsid w:val="001247FB"/>
    <w:rsid w:val="001254F8"/>
    <w:rsid w:val="00126279"/>
    <w:rsid w:val="00126E7B"/>
    <w:rsid w:val="00126F96"/>
    <w:rsid w:val="00131D3A"/>
    <w:rsid w:val="001348B6"/>
    <w:rsid w:val="001501BD"/>
    <w:rsid w:val="00160921"/>
    <w:rsid w:val="00161293"/>
    <w:rsid w:val="001652C2"/>
    <w:rsid w:val="00166F46"/>
    <w:rsid w:val="00172853"/>
    <w:rsid w:val="00177065"/>
    <w:rsid w:val="00181BE8"/>
    <w:rsid w:val="001836DA"/>
    <w:rsid w:val="00187F91"/>
    <w:rsid w:val="001947F4"/>
    <w:rsid w:val="001A690B"/>
    <w:rsid w:val="001A6CF9"/>
    <w:rsid w:val="001A7369"/>
    <w:rsid w:val="001B1591"/>
    <w:rsid w:val="001B3211"/>
    <w:rsid w:val="001B5B8A"/>
    <w:rsid w:val="001B75F5"/>
    <w:rsid w:val="001C2021"/>
    <w:rsid w:val="001D012B"/>
    <w:rsid w:val="001D09C2"/>
    <w:rsid w:val="001D0E7A"/>
    <w:rsid w:val="001D0F2B"/>
    <w:rsid w:val="001D3E82"/>
    <w:rsid w:val="001D575C"/>
    <w:rsid w:val="001E1DC3"/>
    <w:rsid w:val="001E1EAC"/>
    <w:rsid w:val="001E6A66"/>
    <w:rsid w:val="001F2628"/>
    <w:rsid w:val="001F31BE"/>
    <w:rsid w:val="001F4A99"/>
    <w:rsid w:val="00204878"/>
    <w:rsid w:val="00204C78"/>
    <w:rsid w:val="00214EF3"/>
    <w:rsid w:val="00220819"/>
    <w:rsid w:val="002305F7"/>
    <w:rsid w:val="002342B6"/>
    <w:rsid w:val="00235306"/>
    <w:rsid w:val="00236748"/>
    <w:rsid w:val="00237811"/>
    <w:rsid w:val="0024195F"/>
    <w:rsid w:val="002446EC"/>
    <w:rsid w:val="002449F0"/>
    <w:rsid w:val="00250843"/>
    <w:rsid w:val="00250D39"/>
    <w:rsid w:val="00252D7B"/>
    <w:rsid w:val="002724AA"/>
    <w:rsid w:val="00272DCD"/>
    <w:rsid w:val="00274D56"/>
    <w:rsid w:val="00276B65"/>
    <w:rsid w:val="00276EC9"/>
    <w:rsid w:val="002860A9"/>
    <w:rsid w:val="00290242"/>
    <w:rsid w:val="00291DCE"/>
    <w:rsid w:val="002943DF"/>
    <w:rsid w:val="00294A09"/>
    <w:rsid w:val="002A05E5"/>
    <w:rsid w:val="002B1CB0"/>
    <w:rsid w:val="002B4439"/>
    <w:rsid w:val="002B7CAD"/>
    <w:rsid w:val="002C172A"/>
    <w:rsid w:val="002C3998"/>
    <w:rsid w:val="002C694A"/>
    <w:rsid w:val="002D2832"/>
    <w:rsid w:val="002E1D81"/>
    <w:rsid w:val="002F13E4"/>
    <w:rsid w:val="00302FD1"/>
    <w:rsid w:val="00303755"/>
    <w:rsid w:val="00306311"/>
    <w:rsid w:val="00307C83"/>
    <w:rsid w:val="00314C10"/>
    <w:rsid w:val="00316A73"/>
    <w:rsid w:val="00320936"/>
    <w:rsid w:val="003214C4"/>
    <w:rsid w:val="0032263A"/>
    <w:rsid w:val="00331C9F"/>
    <w:rsid w:val="00332A64"/>
    <w:rsid w:val="00333D2B"/>
    <w:rsid w:val="00342F05"/>
    <w:rsid w:val="003461F8"/>
    <w:rsid w:val="003505E7"/>
    <w:rsid w:val="00354C93"/>
    <w:rsid w:val="00357C40"/>
    <w:rsid w:val="0036007C"/>
    <w:rsid w:val="0036149B"/>
    <w:rsid w:val="003618F6"/>
    <w:rsid w:val="00361938"/>
    <w:rsid w:val="0036606D"/>
    <w:rsid w:val="003665D2"/>
    <w:rsid w:val="003675F8"/>
    <w:rsid w:val="003706F2"/>
    <w:rsid w:val="00371B2F"/>
    <w:rsid w:val="00374948"/>
    <w:rsid w:val="00375B27"/>
    <w:rsid w:val="003773FB"/>
    <w:rsid w:val="00382736"/>
    <w:rsid w:val="0038298C"/>
    <w:rsid w:val="00384123"/>
    <w:rsid w:val="00392F32"/>
    <w:rsid w:val="00393EF4"/>
    <w:rsid w:val="003942A0"/>
    <w:rsid w:val="00397D7C"/>
    <w:rsid w:val="003A3CA0"/>
    <w:rsid w:val="003B24CD"/>
    <w:rsid w:val="003B2B22"/>
    <w:rsid w:val="003C2730"/>
    <w:rsid w:val="003C6C6D"/>
    <w:rsid w:val="003D0899"/>
    <w:rsid w:val="003D4211"/>
    <w:rsid w:val="003D54FB"/>
    <w:rsid w:val="003D7ED9"/>
    <w:rsid w:val="003E0BAF"/>
    <w:rsid w:val="003E0EDF"/>
    <w:rsid w:val="003E36EC"/>
    <w:rsid w:val="003E58A5"/>
    <w:rsid w:val="003F2468"/>
    <w:rsid w:val="003F267B"/>
    <w:rsid w:val="00406B19"/>
    <w:rsid w:val="00414B5B"/>
    <w:rsid w:val="00416752"/>
    <w:rsid w:val="00423A32"/>
    <w:rsid w:val="004276C7"/>
    <w:rsid w:val="00427BEB"/>
    <w:rsid w:val="00432404"/>
    <w:rsid w:val="00432A70"/>
    <w:rsid w:val="00441B78"/>
    <w:rsid w:val="00444F98"/>
    <w:rsid w:val="0044588D"/>
    <w:rsid w:val="0045039A"/>
    <w:rsid w:val="00456A21"/>
    <w:rsid w:val="004601B8"/>
    <w:rsid w:val="004625EC"/>
    <w:rsid w:val="00463074"/>
    <w:rsid w:val="004641DA"/>
    <w:rsid w:val="004656E0"/>
    <w:rsid w:val="00472A9A"/>
    <w:rsid w:val="00472F02"/>
    <w:rsid w:val="004817A6"/>
    <w:rsid w:val="00481828"/>
    <w:rsid w:val="0048216F"/>
    <w:rsid w:val="00483961"/>
    <w:rsid w:val="004874A4"/>
    <w:rsid w:val="0049094C"/>
    <w:rsid w:val="004A08E1"/>
    <w:rsid w:val="004A4F40"/>
    <w:rsid w:val="004B0B2C"/>
    <w:rsid w:val="004B4E51"/>
    <w:rsid w:val="004B66FF"/>
    <w:rsid w:val="004B7CB9"/>
    <w:rsid w:val="004C0405"/>
    <w:rsid w:val="004C1DD7"/>
    <w:rsid w:val="004C4173"/>
    <w:rsid w:val="004C46C0"/>
    <w:rsid w:val="004D054F"/>
    <w:rsid w:val="004D493A"/>
    <w:rsid w:val="004E42AA"/>
    <w:rsid w:val="004E5268"/>
    <w:rsid w:val="004F626A"/>
    <w:rsid w:val="0050041E"/>
    <w:rsid w:val="00503E18"/>
    <w:rsid w:val="005054AD"/>
    <w:rsid w:val="00512AB7"/>
    <w:rsid w:val="00522F93"/>
    <w:rsid w:val="00526977"/>
    <w:rsid w:val="00527D2B"/>
    <w:rsid w:val="00532E9A"/>
    <w:rsid w:val="0053379E"/>
    <w:rsid w:val="0054234B"/>
    <w:rsid w:val="005568E3"/>
    <w:rsid w:val="00562843"/>
    <w:rsid w:val="00563356"/>
    <w:rsid w:val="00566A1C"/>
    <w:rsid w:val="0057085A"/>
    <w:rsid w:val="0057660D"/>
    <w:rsid w:val="005840A4"/>
    <w:rsid w:val="00585AB9"/>
    <w:rsid w:val="00591C28"/>
    <w:rsid w:val="0059397D"/>
    <w:rsid w:val="005A249B"/>
    <w:rsid w:val="005A6E03"/>
    <w:rsid w:val="005A7D3F"/>
    <w:rsid w:val="005B24A1"/>
    <w:rsid w:val="005C209D"/>
    <w:rsid w:val="005C2595"/>
    <w:rsid w:val="005C6AFF"/>
    <w:rsid w:val="005C76A1"/>
    <w:rsid w:val="005D0239"/>
    <w:rsid w:val="005D7A3D"/>
    <w:rsid w:val="005D7AFA"/>
    <w:rsid w:val="005E0704"/>
    <w:rsid w:val="005E4BB9"/>
    <w:rsid w:val="005F0587"/>
    <w:rsid w:val="005F17BF"/>
    <w:rsid w:val="005F20D1"/>
    <w:rsid w:val="00600EEF"/>
    <w:rsid w:val="00601044"/>
    <w:rsid w:val="00601B0D"/>
    <w:rsid w:val="0060723F"/>
    <w:rsid w:val="00623B21"/>
    <w:rsid w:val="006257CA"/>
    <w:rsid w:val="0062707A"/>
    <w:rsid w:val="00636585"/>
    <w:rsid w:val="00640FFD"/>
    <w:rsid w:val="00645404"/>
    <w:rsid w:val="00656CCA"/>
    <w:rsid w:val="00661385"/>
    <w:rsid w:val="0066748C"/>
    <w:rsid w:val="0067142C"/>
    <w:rsid w:val="00671B11"/>
    <w:rsid w:val="00672C0E"/>
    <w:rsid w:val="00674D76"/>
    <w:rsid w:val="00680D2E"/>
    <w:rsid w:val="0068382A"/>
    <w:rsid w:val="00686FB5"/>
    <w:rsid w:val="0069173D"/>
    <w:rsid w:val="006950D8"/>
    <w:rsid w:val="006960F9"/>
    <w:rsid w:val="006962C3"/>
    <w:rsid w:val="006A3AD1"/>
    <w:rsid w:val="006A607B"/>
    <w:rsid w:val="006A75F4"/>
    <w:rsid w:val="006B12FD"/>
    <w:rsid w:val="006C2688"/>
    <w:rsid w:val="006D3F87"/>
    <w:rsid w:val="006D4E81"/>
    <w:rsid w:val="006E085E"/>
    <w:rsid w:val="006F2632"/>
    <w:rsid w:val="006F2905"/>
    <w:rsid w:val="006F3389"/>
    <w:rsid w:val="007036AA"/>
    <w:rsid w:val="00703DD6"/>
    <w:rsid w:val="00707AC0"/>
    <w:rsid w:val="00712BC0"/>
    <w:rsid w:val="00713313"/>
    <w:rsid w:val="00723982"/>
    <w:rsid w:val="007254CC"/>
    <w:rsid w:val="007309F0"/>
    <w:rsid w:val="00730F49"/>
    <w:rsid w:val="0073654F"/>
    <w:rsid w:val="00743028"/>
    <w:rsid w:val="00750CDF"/>
    <w:rsid w:val="00752079"/>
    <w:rsid w:val="00754171"/>
    <w:rsid w:val="00757FA3"/>
    <w:rsid w:val="00762818"/>
    <w:rsid w:val="00766322"/>
    <w:rsid w:val="00777539"/>
    <w:rsid w:val="00782A54"/>
    <w:rsid w:val="00782E13"/>
    <w:rsid w:val="007871E6"/>
    <w:rsid w:val="00797979"/>
    <w:rsid w:val="007A4E6C"/>
    <w:rsid w:val="007A7DE8"/>
    <w:rsid w:val="007B7461"/>
    <w:rsid w:val="007C3FDA"/>
    <w:rsid w:val="007C7026"/>
    <w:rsid w:val="007E32B8"/>
    <w:rsid w:val="007E7ED6"/>
    <w:rsid w:val="007E7F0E"/>
    <w:rsid w:val="008067E9"/>
    <w:rsid w:val="00815791"/>
    <w:rsid w:val="0081654D"/>
    <w:rsid w:val="00816B87"/>
    <w:rsid w:val="00821AA0"/>
    <w:rsid w:val="008226A9"/>
    <w:rsid w:val="00824593"/>
    <w:rsid w:val="00835231"/>
    <w:rsid w:val="00835B63"/>
    <w:rsid w:val="00836DAD"/>
    <w:rsid w:val="008374CD"/>
    <w:rsid w:val="0084089D"/>
    <w:rsid w:val="008524CC"/>
    <w:rsid w:val="00854190"/>
    <w:rsid w:val="008710A2"/>
    <w:rsid w:val="0087500C"/>
    <w:rsid w:val="00876E0B"/>
    <w:rsid w:val="00877C90"/>
    <w:rsid w:val="00880370"/>
    <w:rsid w:val="00880D1A"/>
    <w:rsid w:val="00886392"/>
    <w:rsid w:val="00886484"/>
    <w:rsid w:val="008864EA"/>
    <w:rsid w:val="00891D90"/>
    <w:rsid w:val="0089427A"/>
    <w:rsid w:val="00895B0C"/>
    <w:rsid w:val="008A0365"/>
    <w:rsid w:val="008A0513"/>
    <w:rsid w:val="008A1382"/>
    <w:rsid w:val="008A2085"/>
    <w:rsid w:val="008A2FF7"/>
    <w:rsid w:val="008A7F7D"/>
    <w:rsid w:val="008B4F1D"/>
    <w:rsid w:val="008C5E46"/>
    <w:rsid w:val="008D1AC6"/>
    <w:rsid w:val="008D2198"/>
    <w:rsid w:val="008D3B12"/>
    <w:rsid w:val="008D6633"/>
    <w:rsid w:val="008E77B9"/>
    <w:rsid w:val="008F0A05"/>
    <w:rsid w:val="008F0E01"/>
    <w:rsid w:val="008F1D84"/>
    <w:rsid w:val="008F2D2D"/>
    <w:rsid w:val="008F51BF"/>
    <w:rsid w:val="009049EA"/>
    <w:rsid w:val="00904A7D"/>
    <w:rsid w:val="00911AA5"/>
    <w:rsid w:val="009165A3"/>
    <w:rsid w:val="00917602"/>
    <w:rsid w:val="00917A1D"/>
    <w:rsid w:val="0092346B"/>
    <w:rsid w:val="009262FA"/>
    <w:rsid w:val="00926AA9"/>
    <w:rsid w:val="0092701D"/>
    <w:rsid w:val="00930D53"/>
    <w:rsid w:val="009337D0"/>
    <w:rsid w:val="00935204"/>
    <w:rsid w:val="00944A0A"/>
    <w:rsid w:val="009518A4"/>
    <w:rsid w:val="0095342A"/>
    <w:rsid w:val="00953CFF"/>
    <w:rsid w:val="00957E5C"/>
    <w:rsid w:val="0096142E"/>
    <w:rsid w:val="00971EDD"/>
    <w:rsid w:val="0097256B"/>
    <w:rsid w:val="00976E01"/>
    <w:rsid w:val="0097763F"/>
    <w:rsid w:val="0098562A"/>
    <w:rsid w:val="00985F07"/>
    <w:rsid w:val="00990257"/>
    <w:rsid w:val="00994B27"/>
    <w:rsid w:val="0099664D"/>
    <w:rsid w:val="009A3138"/>
    <w:rsid w:val="009A45CE"/>
    <w:rsid w:val="009A5E60"/>
    <w:rsid w:val="009A74B0"/>
    <w:rsid w:val="009B1AA4"/>
    <w:rsid w:val="009B230A"/>
    <w:rsid w:val="009B4547"/>
    <w:rsid w:val="009C2850"/>
    <w:rsid w:val="009C47C5"/>
    <w:rsid w:val="009C4E36"/>
    <w:rsid w:val="009C5487"/>
    <w:rsid w:val="009C5CA1"/>
    <w:rsid w:val="009C7D99"/>
    <w:rsid w:val="009D6978"/>
    <w:rsid w:val="009D706D"/>
    <w:rsid w:val="009E0FD7"/>
    <w:rsid w:val="009F1618"/>
    <w:rsid w:val="009F4E81"/>
    <w:rsid w:val="009F553D"/>
    <w:rsid w:val="009F7286"/>
    <w:rsid w:val="00A0429C"/>
    <w:rsid w:val="00A043AB"/>
    <w:rsid w:val="00A0543B"/>
    <w:rsid w:val="00A06777"/>
    <w:rsid w:val="00A0768D"/>
    <w:rsid w:val="00A11DF6"/>
    <w:rsid w:val="00A14F50"/>
    <w:rsid w:val="00A23DE1"/>
    <w:rsid w:val="00A2508E"/>
    <w:rsid w:val="00A274DE"/>
    <w:rsid w:val="00A31010"/>
    <w:rsid w:val="00A426E2"/>
    <w:rsid w:val="00A4312A"/>
    <w:rsid w:val="00A55A5F"/>
    <w:rsid w:val="00A56801"/>
    <w:rsid w:val="00A71410"/>
    <w:rsid w:val="00A90D2C"/>
    <w:rsid w:val="00A931AC"/>
    <w:rsid w:val="00A95E7F"/>
    <w:rsid w:val="00A97CEC"/>
    <w:rsid w:val="00AA0F81"/>
    <w:rsid w:val="00AA1639"/>
    <w:rsid w:val="00AA69DB"/>
    <w:rsid w:val="00AA7028"/>
    <w:rsid w:val="00AB1F53"/>
    <w:rsid w:val="00AC0AFA"/>
    <w:rsid w:val="00AC58B6"/>
    <w:rsid w:val="00AC7BEF"/>
    <w:rsid w:val="00AD0997"/>
    <w:rsid w:val="00AD2451"/>
    <w:rsid w:val="00AE25A9"/>
    <w:rsid w:val="00AE4275"/>
    <w:rsid w:val="00AE55E5"/>
    <w:rsid w:val="00AE68A7"/>
    <w:rsid w:val="00AF708A"/>
    <w:rsid w:val="00B03973"/>
    <w:rsid w:val="00B049B9"/>
    <w:rsid w:val="00B059BD"/>
    <w:rsid w:val="00B06486"/>
    <w:rsid w:val="00B1181B"/>
    <w:rsid w:val="00B137FB"/>
    <w:rsid w:val="00B2040D"/>
    <w:rsid w:val="00B22CF6"/>
    <w:rsid w:val="00B23439"/>
    <w:rsid w:val="00B24F68"/>
    <w:rsid w:val="00B30303"/>
    <w:rsid w:val="00B31AB0"/>
    <w:rsid w:val="00B362AD"/>
    <w:rsid w:val="00B5060D"/>
    <w:rsid w:val="00B51953"/>
    <w:rsid w:val="00B55329"/>
    <w:rsid w:val="00B57E64"/>
    <w:rsid w:val="00B65D5C"/>
    <w:rsid w:val="00B778FD"/>
    <w:rsid w:val="00B81645"/>
    <w:rsid w:val="00B85687"/>
    <w:rsid w:val="00BA1837"/>
    <w:rsid w:val="00BA728A"/>
    <w:rsid w:val="00BB35EC"/>
    <w:rsid w:val="00BB7739"/>
    <w:rsid w:val="00BC2921"/>
    <w:rsid w:val="00BD4A5D"/>
    <w:rsid w:val="00BD6D2D"/>
    <w:rsid w:val="00BD7164"/>
    <w:rsid w:val="00BF0944"/>
    <w:rsid w:val="00BF1DE4"/>
    <w:rsid w:val="00C009D8"/>
    <w:rsid w:val="00C05488"/>
    <w:rsid w:val="00C05BA9"/>
    <w:rsid w:val="00C114C6"/>
    <w:rsid w:val="00C115B4"/>
    <w:rsid w:val="00C11D5D"/>
    <w:rsid w:val="00C16757"/>
    <w:rsid w:val="00C17681"/>
    <w:rsid w:val="00C211D7"/>
    <w:rsid w:val="00C30478"/>
    <w:rsid w:val="00C3548B"/>
    <w:rsid w:val="00C41E2F"/>
    <w:rsid w:val="00C4542B"/>
    <w:rsid w:val="00C468D7"/>
    <w:rsid w:val="00C51B47"/>
    <w:rsid w:val="00C53C18"/>
    <w:rsid w:val="00C54494"/>
    <w:rsid w:val="00C62897"/>
    <w:rsid w:val="00C648D3"/>
    <w:rsid w:val="00C64F64"/>
    <w:rsid w:val="00C72F0F"/>
    <w:rsid w:val="00C74A28"/>
    <w:rsid w:val="00C75242"/>
    <w:rsid w:val="00C7600B"/>
    <w:rsid w:val="00C77C3A"/>
    <w:rsid w:val="00C851FD"/>
    <w:rsid w:val="00C904F8"/>
    <w:rsid w:val="00C95B08"/>
    <w:rsid w:val="00CA0EC2"/>
    <w:rsid w:val="00CB283A"/>
    <w:rsid w:val="00CB45AF"/>
    <w:rsid w:val="00CB5558"/>
    <w:rsid w:val="00CB7750"/>
    <w:rsid w:val="00CC0F61"/>
    <w:rsid w:val="00CC6DAA"/>
    <w:rsid w:val="00CD77EE"/>
    <w:rsid w:val="00CE5AFD"/>
    <w:rsid w:val="00CE748A"/>
    <w:rsid w:val="00CF0DB5"/>
    <w:rsid w:val="00CF1B15"/>
    <w:rsid w:val="00CF54F4"/>
    <w:rsid w:val="00CF5F13"/>
    <w:rsid w:val="00D001A1"/>
    <w:rsid w:val="00D03026"/>
    <w:rsid w:val="00D1585A"/>
    <w:rsid w:val="00D16640"/>
    <w:rsid w:val="00D169E8"/>
    <w:rsid w:val="00D205B8"/>
    <w:rsid w:val="00D2561B"/>
    <w:rsid w:val="00D3460E"/>
    <w:rsid w:val="00D544D6"/>
    <w:rsid w:val="00D54622"/>
    <w:rsid w:val="00D55F10"/>
    <w:rsid w:val="00D575F9"/>
    <w:rsid w:val="00D606A4"/>
    <w:rsid w:val="00D62D71"/>
    <w:rsid w:val="00D64726"/>
    <w:rsid w:val="00D65E88"/>
    <w:rsid w:val="00D6779D"/>
    <w:rsid w:val="00D71EA0"/>
    <w:rsid w:val="00D71F18"/>
    <w:rsid w:val="00D72731"/>
    <w:rsid w:val="00D73889"/>
    <w:rsid w:val="00D84F61"/>
    <w:rsid w:val="00D860D7"/>
    <w:rsid w:val="00D87A43"/>
    <w:rsid w:val="00D91A7E"/>
    <w:rsid w:val="00D93678"/>
    <w:rsid w:val="00DA348C"/>
    <w:rsid w:val="00DA619F"/>
    <w:rsid w:val="00DA75B7"/>
    <w:rsid w:val="00DB3E43"/>
    <w:rsid w:val="00DB5CEC"/>
    <w:rsid w:val="00DB6514"/>
    <w:rsid w:val="00DB7D0F"/>
    <w:rsid w:val="00DC1DA5"/>
    <w:rsid w:val="00DC30B5"/>
    <w:rsid w:val="00DC694E"/>
    <w:rsid w:val="00DC71BE"/>
    <w:rsid w:val="00DD4DC3"/>
    <w:rsid w:val="00DD6D29"/>
    <w:rsid w:val="00DE28EF"/>
    <w:rsid w:val="00DE3CBE"/>
    <w:rsid w:val="00DE6A65"/>
    <w:rsid w:val="00DF4B17"/>
    <w:rsid w:val="00DF64FC"/>
    <w:rsid w:val="00DF7526"/>
    <w:rsid w:val="00E004E4"/>
    <w:rsid w:val="00E01ED3"/>
    <w:rsid w:val="00E06119"/>
    <w:rsid w:val="00E0791B"/>
    <w:rsid w:val="00E16A20"/>
    <w:rsid w:val="00E17185"/>
    <w:rsid w:val="00E173B4"/>
    <w:rsid w:val="00E174C1"/>
    <w:rsid w:val="00E227CF"/>
    <w:rsid w:val="00E23D1A"/>
    <w:rsid w:val="00E27637"/>
    <w:rsid w:val="00E34252"/>
    <w:rsid w:val="00E3673B"/>
    <w:rsid w:val="00E410B5"/>
    <w:rsid w:val="00E55B48"/>
    <w:rsid w:val="00E70223"/>
    <w:rsid w:val="00E72A95"/>
    <w:rsid w:val="00E750AC"/>
    <w:rsid w:val="00E75638"/>
    <w:rsid w:val="00E8431B"/>
    <w:rsid w:val="00E84AAF"/>
    <w:rsid w:val="00E90FE5"/>
    <w:rsid w:val="00E9160C"/>
    <w:rsid w:val="00E95409"/>
    <w:rsid w:val="00EA1CCB"/>
    <w:rsid w:val="00EB732A"/>
    <w:rsid w:val="00EC6D1B"/>
    <w:rsid w:val="00ED3909"/>
    <w:rsid w:val="00ED76AA"/>
    <w:rsid w:val="00ED777D"/>
    <w:rsid w:val="00EE01AA"/>
    <w:rsid w:val="00EE6BAC"/>
    <w:rsid w:val="00EE6C3E"/>
    <w:rsid w:val="00EF4D6C"/>
    <w:rsid w:val="00EF6BAE"/>
    <w:rsid w:val="00F02F6E"/>
    <w:rsid w:val="00F05B4B"/>
    <w:rsid w:val="00F1159E"/>
    <w:rsid w:val="00F11CA2"/>
    <w:rsid w:val="00F202E1"/>
    <w:rsid w:val="00F21187"/>
    <w:rsid w:val="00F2415F"/>
    <w:rsid w:val="00F34458"/>
    <w:rsid w:val="00F34C81"/>
    <w:rsid w:val="00F37ED8"/>
    <w:rsid w:val="00F42DFA"/>
    <w:rsid w:val="00F52832"/>
    <w:rsid w:val="00F62776"/>
    <w:rsid w:val="00F650E3"/>
    <w:rsid w:val="00F65295"/>
    <w:rsid w:val="00F667AA"/>
    <w:rsid w:val="00F76ABB"/>
    <w:rsid w:val="00F800D2"/>
    <w:rsid w:val="00F81097"/>
    <w:rsid w:val="00F83857"/>
    <w:rsid w:val="00F86125"/>
    <w:rsid w:val="00F908E5"/>
    <w:rsid w:val="00F91F75"/>
    <w:rsid w:val="00F92FB9"/>
    <w:rsid w:val="00F94D26"/>
    <w:rsid w:val="00F95F47"/>
    <w:rsid w:val="00F979EB"/>
    <w:rsid w:val="00F97E6C"/>
    <w:rsid w:val="00FA379D"/>
    <w:rsid w:val="00FA5040"/>
    <w:rsid w:val="00FB2714"/>
    <w:rsid w:val="00FB714C"/>
    <w:rsid w:val="00FC5C22"/>
    <w:rsid w:val="00FD6C06"/>
    <w:rsid w:val="00FD7788"/>
    <w:rsid w:val="00FE1503"/>
    <w:rsid w:val="00FE25CE"/>
    <w:rsid w:val="00FE31E0"/>
    <w:rsid w:val="00FE399A"/>
    <w:rsid w:val="00FE51F7"/>
    <w:rsid w:val="00FE5809"/>
    <w:rsid w:val="00FE5BF0"/>
    <w:rsid w:val="00FF16AC"/>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1D615"/>
  <w15:chartTrackingRefBased/>
  <w15:docId w15:val="{B8106771-DA6B-4B35-9F01-52C84FF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A7"/>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
    <w:basedOn w:val="Normal"/>
    <w:link w:val="ListParagraphChar"/>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ltaViewInsertion">
    <w:name w:val="DeltaView Insertion"/>
    <w:rsid w:val="00E173B4"/>
    <w:rPr>
      <w:color w:val="0000FF"/>
      <w:spacing w:val="0"/>
      <w:u w:val="double"/>
    </w:rPr>
  </w:style>
  <w:style w:type="paragraph" w:customStyle="1" w:styleId="Default">
    <w:name w:val="Default"/>
    <w:rsid w:val="00E173B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
    <w:basedOn w:val="DefaultParagraphFont"/>
    <w:link w:val="ListParagraph"/>
    <w:uiPriority w:val="34"/>
    <w:rsid w:val="00E173B4"/>
  </w:style>
  <w:style w:type="paragraph" w:styleId="FootnoteText">
    <w:name w:val="footnote text"/>
    <w:basedOn w:val="Normal"/>
    <w:link w:val="FootnoteTextChar1"/>
    <w:uiPriority w:val="99"/>
    <w:semiHidden/>
    <w:unhideWhenUsed/>
    <w:rsid w:val="003E58A5"/>
    <w:pPr>
      <w:spacing w:after="200" w:line="276" w:lineRule="auto"/>
    </w:pPr>
    <w:rPr>
      <w:sz w:val="20"/>
      <w:szCs w:val="20"/>
    </w:rPr>
  </w:style>
  <w:style w:type="character" w:customStyle="1" w:styleId="FootnoteTextChar">
    <w:name w:val="Footnote Text Char"/>
    <w:basedOn w:val="DefaultParagraphFont"/>
    <w:uiPriority w:val="99"/>
    <w:semiHidden/>
    <w:rsid w:val="003E58A5"/>
    <w:rPr>
      <w:sz w:val="20"/>
      <w:szCs w:val="20"/>
    </w:rPr>
  </w:style>
  <w:style w:type="character" w:customStyle="1" w:styleId="FootnoteTextChar1">
    <w:name w:val="Footnote Text Char1"/>
    <w:basedOn w:val="DefaultParagraphFont"/>
    <w:link w:val="FootnoteText"/>
    <w:uiPriority w:val="99"/>
    <w:semiHidden/>
    <w:rsid w:val="003E58A5"/>
    <w:rPr>
      <w:sz w:val="20"/>
      <w:szCs w:val="20"/>
    </w:rPr>
  </w:style>
  <w:style w:type="character" w:styleId="FollowedHyperlink">
    <w:name w:val="FollowedHyperlink"/>
    <w:basedOn w:val="DefaultParagraphFont"/>
    <w:uiPriority w:val="99"/>
    <w:semiHidden/>
    <w:unhideWhenUsed/>
    <w:rsid w:val="00306311"/>
    <w:rPr>
      <w:color w:val="800080" w:themeColor="followedHyperlink"/>
      <w:u w:val="single"/>
    </w:rPr>
  </w:style>
  <w:style w:type="character" w:styleId="FootnoteReference">
    <w:name w:val="footnote reference"/>
    <w:basedOn w:val="DefaultParagraphFont"/>
    <w:uiPriority w:val="99"/>
    <w:semiHidden/>
    <w:unhideWhenUsed/>
    <w:rsid w:val="00316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415787988">
      <w:bodyDiv w:val="1"/>
      <w:marLeft w:val="0"/>
      <w:marRight w:val="0"/>
      <w:marTop w:val="0"/>
      <w:marBottom w:val="0"/>
      <w:divBdr>
        <w:top w:val="none" w:sz="0" w:space="0" w:color="auto"/>
        <w:left w:val="none" w:sz="0" w:space="0" w:color="auto"/>
        <w:bottom w:val="none" w:sz="0" w:space="0" w:color="auto"/>
        <w:right w:val="none" w:sz="0" w:space="0" w:color="auto"/>
      </w:divBdr>
    </w:div>
    <w:div w:id="1571304484">
      <w:bodyDiv w:val="1"/>
      <w:marLeft w:val="0"/>
      <w:marRight w:val="0"/>
      <w:marTop w:val="0"/>
      <w:marBottom w:val="0"/>
      <w:divBdr>
        <w:top w:val="none" w:sz="0" w:space="0" w:color="auto"/>
        <w:left w:val="none" w:sz="0" w:space="0" w:color="auto"/>
        <w:bottom w:val="none" w:sz="0" w:space="0" w:color="auto"/>
        <w:right w:val="none" w:sz="0" w:space="0" w:color="auto"/>
      </w:divBdr>
    </w:div>
    <w:div w:id="20893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18" Type="http://schemas.openxmlformats.org/officeDocument/2006/relationships/hyperlink" Target="https://www.equalityhumanrights.com/en/managing-pregnancy-and-maternity-workplace/pregnancy-and-maternity-discrimination-research-finding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Bruceia\Documents\Stonewall%20(2020)%20Shut%20Out" TargetMode="Externa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scotland.shinyapps.io/sg-equality-evidence-find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Bruceia\Documents\Stonewall%20(2020)%20Shut%20Out" TargetMode="External"/><Relationship Id="rId20" Type="http://schemas.openxmlformats.org/officeDocument/2006/relationships/hyperlink" Target="https://www.skillsdevelopmentscotland.co.uk/media/47777/1329_equality-evidence-review-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Bruceia\AppData\Local\Microsoft\Windows\INetCache\Content.Outlook\6S7SERS8\Stonewall%20(2020)%20Shut%20Out" TargetMode="External"/><Relationship Id="rId23" Type="http://schemas.openxmlformats.org/officeDocument/2006/relationships/hyperlink" Target="https://connecting.sco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illsdevelopmentscotland.co.uk/media/47777/1329_equality-evidence-review-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developmentscotland.co.uk/media/47777/1329_equality-evidence-review-2021.pdf" TargetMode="External"/><Relationship Id="rId22" Type="http://schemas.openxmlformats.org/officeDocument/2006/relationships/hyperlink" Target="https://www.skillsdevelopmentscotland.co.uk/media/47777/1329_equality-evidence-review-2021.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EFC8-EDAB-415B-A5B9-102B52DD6EC1}"/>
</file>

<file path=customXml/itemProps2.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3.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s>
</ds:datastoreItem>
</file>

<file path=customXml/itemProps4.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3487</Words>
  <Characters>19878</Characters>
  <Application>Microsoft Office Word</Application>
  <DocSecurity>2</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3</cp:revision>
  <cp:lastPrinted>2019-07-25T08:09:00Z</cp:lastPrinted>
  <dcterms:created xsi:type="dcterms:W3CDTF">2021-10-14T10:53:00Z</dcterms:created>
  <dcterms:modified xsi:type="dcterms:W3CDTF">2021-10-14T10:53:00Z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