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2596" w14:textId="77777777" w:rsidR="005F0D16" w:rsidRDefault="005F0D16" w:rsidP="005F0D16">
      <w:pPr>
        <w:rPr>
          <w:rFonts w:ascii="Arial" w:hAnsi="Arial" w:cs="Arial"/>
        </w:rPr>
      </w:pPr>
    </w:p>
    <w:p w14:paraId="746FC507" w14:textId="77777777" w:rsidR="005F0D16" w:rsidRPr="00814FE9" w:rsidRDefault="005F0D16" w:rsidP="005F0D16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70979632" w14:textId="77777777" w:rsidR="005F0D16" w:rsidRPr="00814FE9" w:rsidRDefault="005F0D16" w:rsidP="005F0D16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0269FD45" w14:textId="77777777" w:rsidR="005F0D16" w:rsidRPr="00814FE9" w:rsidRDefault="005F0D16" w:rsidP="005F0D16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5F0D16" w:rsidRPr="00814FE9" w14:paraId="2EBCDCC4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3725F258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45CEEF3D" w14:textId="13BDD328" w:rsidR="005F0D16" w:rsidRPr="00814FE9" w:rsidRDefault="006A75B4" w:rsidP="00456B94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16/01/2025</w:t>
            </w:r>
          </w:p>
        </w:tc>
      </w:tr>
      <w:tr w:rsidR="005F0D16" w:rsidRPr="00814FE9" w14:paraId="0BF28070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1E6E0A5F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7E9096B4" w14:textId="4C38ECC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</w:t>
            </w:r>
            <w:r w:rsidR="006A75B4">
              <w:rPr>
                <w:rFonts w:ascii="Arial" w:hAnsi="Arial" w:cs="Arial"/>
                <w:b/>
              </w:rPr>
              <w:t>4</w:t>
            </w:r>
            <w:r w:rsidRPr="00814FE9">
              <w:rPr>
                <w:rFonts w:ascii="Arial" w:hAnsi="Arial" w:cs="Arial"/>
                <w:b/>
              </w:rPr>
              <w:t>:00</w:t>
            </w:r>
            <w:r w:rsidR="006A75B4">
              <w:rPr>
                <w:rFonts w:ascii="Arial" w:hAnsi="Arial" w:cs="Arial"/>
                <w:b/>
              </w:rPr>
              <w:t>p</w:t>
            </w:r>
            <w:r w:rsidRPr="00814FE9">
              <w:rPr>
                <w:rFonts w:ascii="Arial" w:hAnsi="Arial" w:cs="Arial"/>
                <w:b/>
              </w:rPr>
              <w:t>m-1</w:t>
            </w:r>
            <w:r w:rsidR="006A75B4">
              <w:rPr>
                <w:rFonts w:ascii="Arial" w:hAnsi="Arial" w:cs="Arial"/>
                <w:b/>
              </w:rPr>
              <w:t>6</w:t>
            </w:r>
            <w:r w:rsidRPr="00814FE9">
              <w:rPr>
                <w:rFonts w:ascii="Arial" w:hAnsi="Arial" w:cs="Arial"/>
                <w:b/>
              </w:rPr>
              <w:t>:00pm</w:t>
            </w:r>
          </w:p>
        </w:tc>
      </w:tr>
      <w:tr w:rsidR="005F0D16" w:rsidRPr="00A266B2" w14:paraId="2513B363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713604B4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405F5A30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MS Teams Call</w:t>
            </w:r>
          </w:p>
        </w:tc>
      </w:tr>
      <w:tr w:rsidR="005F0D16" w:rsidRPr="00A266B2" w14:paraId="1D9B0B4D" w14:textId="77777777" w:rsidTr="00456B94">
        <w:trPr>
          <w:trHeight w:val="737"/>
        </w:trPr>
        <w:tc>
          <w:tcPr>
            <w:tcW w:w="2160" w:type="dxa"/>
            <w:vAlign w:val="center"/>
          </w:tcPr>
          <w:p w14:paraId="7FD5AF88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43BBFB0D" w14:textId="2D4D99AE" w:rsidR="005F0D16" w:rsidRPr="000B4A60" w:rsidRDefault="006A75B4" w:rsidP="00456B94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B050"/>
              </w:rPr>
            </w:pPr>
            <w:r>
              <w:rPr>
                <w:rFonts w:ascii="Arial" w:hAnsi="Arial" w:cs="Arial"/>
                <w:bCs/>
              </w:rPr>
              <w:t xml:space="preserve">Ruth Jennings (Chair), </w:t>
            </w:r>
            <w:r w:rsidR="005F0D16" w:rsidRPr="00A266B2">
              <w:rPr>
                <w:rFonts w:ascii="Arial" w:hAnsi="Arial" w:cs="Arial"/>
                <w:bCs/>
              </w:rPr>
              <w:t>George Brown (Vice-Chair) – SQA Accreditation</w:t>
            </w:r>
            <w:r w:rsidR="006354C1">
              <w:rPr>
                <w:rFonts w:ascii="Arial" w:hAnsi="Arial" w:cs="Arial"/>
                <w:bCs/>
              </w:rPr>
              <w:t>,</w:t>
            </w:r>
            <w:r w:rsidR="009A2FC6">
              <w:rPr>
                <w:rFonts w:ascii="Arial" w:hAnsi="Arial" w:cs="Arial"/>
                <w:bCs/>
              </w:rPr>
              <w:t xml:space="preserve"> </w:t>
            </w:r>
            <w:r w:rsidR="005F0D16">
              <w:rPr>
                <w:rFonts w:ascii="Arial" w:hAnsi="Arial" w:cs="Arial"/>
                <w:bCs/>
              </w:rPr>
              <w:t>Cath</w:t>
            </w:r>
            <w:r w:rsidR="00B76054">
              <w:rPr>
                <w:rFonts w:ascii="Arial" w:hAnsi="Arial" w:cs="Arial"/>
                <w:bCs/>
              </w:rPr>
              <w:t>erine Ferry</w:t>
            </w:r>
            <w:r w:rsidR="005F0D16">
              <w:rPr>
                <w:rFonts w:ascii="Arial" w:hAnsi="Arial" w:cs="Arial"/>
                <w:bCs/>
              </w:rPr>
              <w:t>– Scottish Government,</w:t>
            </w:r>
            <w:r w:rsidR="005F0D16" w:rsidRPr="00A266B2">
              <w:rPr>
                <w:rFonts w:ascii="Arial" w:hAnsi="Arial" w:cs="Arial"/>
                <w:bCs/>
              </w:rPr>
              <w:t xml:space="preserve"> Diane Mitchell – </w:t>
            </w:r>
            <w:r w:rsidR="005F0D16">
              <w:rPr>
                <w:rFonts w:ascii="Arial" w:hAnsi="Arial" w:cs="Arial"/>
                <w:bCs/>
              </w:rPr>
              <w:t>Fife</w:t>
            </w:r>
            <w:r w:rsidR="005F0D16" w:rsidRPr="00A266B2">
              <w:rPr>
                <w:rFonts w:ascii="Arial" w:hAnsi="Arial" w:cs="Arial"/>
                <w:bCs/>
              </w:rPr>
              <w:t xml:space="preserve"> College, </w:t>
            </w:r>
            <w:r w:rsidR="00D941C8">
              <w:rPr>
                <w:rFonts w:ascii="Arial" w:hAnsi="Arial" w:cs="Arial"/>
                <w:bCs/>
              </w:rPr>
              <w:t>Sheila Dunn</w:t>
            </w:r>
            <w:r w:rsidR="005F0D16" w:rsidRPr="00A266B2">
              <w:rPr>
                <w:rFonts w:ascii="Arial" w:hAnsi="Arial" w:cs="Arial"/>
                <w:bCs/>
              </w:rPr>
              <w:t xml:space="preserve"> - SCQF</w:t>
            </w:r>
            <w:r w:rsidR="00B76054">
              <w:rPr>
                <w:rFonts w:ascii="Arial" w:hAnsi="Arial" w:cs="Arial"/>
                <w:bCs/>
              </w:rPr>
              <w:t>,</w:t>
            </w:r>
            <w:r w:rsidR="00F81650">
              <w:rPr>
                <w:rFonts w:ascii="Arial" w:hAnsi="Arial" w:cs="Arial"/>
                <w:bCs/>
              </w:rPr>
              <w:t xml:space="preserve"> Colin Young – Leonardo, </w:t>
            </w:r>
            <w:r w:rsidR="00456D8C">
              <w:rPr>
                <w:rFonts w:ascii="Arial" w:hAnsi="Arial" w:cs="Arial"/>
                <w:bCs/>
                <w:color w:val="000000" w:themeColor="text1"/>
              </w:rPr>
              <w:t>Tommy Breslin - S</w:t>
            </w:r>
            <w:r w:rsidR="00E87ED4">
              <w:rPr>
                <w:rFonts w:ascii="Arial" w:hAnsi="Arial" w:cs="Arial"/>
                <w:bCs/>
                <w:color w:val="000000" w:themeColor="text1"/>
              </w:rPr>
              <w:t>TU</w:t>
            </w:r>
            <w:r w:rsidR="002F381B">
              <w:rPr>
                <w:rFonts w:ascii="Arial" w:hAnsi="Arial" w:cs="Arial"/>
                <w:bCs/>
                <w:color w:val="000000" w:themeColor="text1"/>
              </w:rPr>
              <w:t>C</w:t>
            </w:r>
            <w:r w:rsidR="005F0D16">
              <w:rPr>
                <w:rFonts w:ascii="Arial" w:hAnsi="Arial" w:cs="Arial"/>
              </w:rPr>
              <w:t>,</w:t>
            </w:r>
            <w:r w:rsidR="005F0D16" w:rsidRPr="00A266B2">
              <w:rPr>
                <w:rFonts w:ascii="Arial" w:hAnsi="Arial" w:cs="Arial"/>
              </w:rPr>
              <w:t xml:space="preserve"> </w:t>
            </w:r>
            <w:r w:rsidR="00F26826">
              <w:rPr>
                <w:rFonts w:ascii="Arial" w:hAnsi="Arial" w:cs="Arial"/>
              </w:rPr>
              <w:t xml:space="preserve">Alison Bucknell – FISSS, </w:t>
            </w:r>
            <w:r w:rsidR="00042380">
              <w:rPr>
                <w:rFonts w:ascii="Arial" w:hAnsi="Arial" w:cs="Arial"/>
              </w:rPr>
              <w:t>Alison Eales – QAA,</w:t>
            </w:r>
            <w:r w:rsidR="00146897">
              <w:rPr>
                <w:rFonts w:ascii="Arial" w:hAnsi="Arial" w:cs="Arial"/>
              </w:rPr>
              <w:t xml:space="preserve"> </w:t>
            </w:r>
            <w:r w:rsidR="00AA54E0">
              <w:rPr>
                <w:rFonts w:ascii="Arial" w:hAnsi="Arial" w:cs="Arial"/>
              </w:rPr>
              <w:t>Terry Dillon</w:t>
            </w:r>
            <w:r w:rsidR="008F2B47">
              <w:rPr>
                <w:rFonts w:ascii="Arial" w:hAnsi="Arial" w:cs="Arial"/>
              </w:rPr>
              <w:t xml:space="preserve"> - SDS</w:t>
            </w:r>
            <w:r w:rsidR="005F0D16">
              <w:rPr>
                <w:rFonts w:ascii="Arial" w:hAnsi="Arial" w:cs="Arial"/>
              </w:rPr>
              <w:t>, Nicola Conner - SDS</w:t>
            </w:r>
          </w:p>
        </w:tc>
      </w:tr>
    </w:tbl>
    <w:p w14:paraId="600D39D3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5"/>
        <w:gridCol w:w="992"/>
      </w:tblGrid>
      <w:tr w:rsidR="005F0D16" w:rsidRPr="00A266B2" w14:paraId="51034AE6" w14:textId="77777777" w:rsidTr="000073BC">
        <w:trPr>
          <w:trHeight w:val="448"/>
        </w:trPr>
        <w:tc>
          <w:tcPr>
            <w:tcW w:w="8506" w:type="dxa"/>
            <w:gridSpan w:val="2"/>
            <w:shd w:val="clear" w:color="auto" w:fill="FFFFFF" w:themeFill="background1"/>
          </w:tcPr>
          <w:p w14:paraId="76703DF9" w14:textId="77777777" w:rsidR="005F0D16" w:rsidRPr="00A266B2" w:rsidRDefault="005F0D16" w:rsidP="00456B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066FFE" w14:textId="77777777" w:rsidR="005F0D16" w:rsidRPr="00A266B2" w:rsidRDefault="005F0D16" w:rsidP="00456B94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5F0D16" w:rsidRPr="00A266B2" w14:paraId="3F4AAA45" w14:textId="77777777" w:rsidTr="000073BC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065D3B6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655" w:type="dxa"/>
            <w:shd w:val="clear" w:color="auto" w:fill="FFFFFF" w:themeFill="background1"/>
          </w:tcPr>
          <w:p w14:paraId="41BD0D8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992" w:type="dxa"/>
            <w:shd w:val="clear" w:color="auto" w:fill="FFFFFF" w:themeFill="background1"/>
          </w:tcPr>
          <w:p w14:paraId="0CBCBA7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0949B4" w14:paraId="59423206" w14:textId="77777777" w:rsidTr="000073BC">
        <w:trPr>
          <w:trHeight w:val="1319"/>
        </w:trPr>
        <w:tc>
          <w:tcPr>
            <w:tcW w:w="851" w:type="dxa"/>
            <w:shd w:val="clear" w:color="auto" w:fill="FFFFFF" w:themeFill="background1"/>
          </w:tcPr>
          <w:p w14:paraId="2E72EBA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08ED2DC0" w14:textId="1FCEC4FB" w:rsidR="00675316" w:rsidRPr="00F81650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F81650">
              <w:rPr>
                <w:rFonts w:ascii="Arial" w:hAnsi="Arial" w:cs="Arial"/>
                <w:bCs/>
                <w:u w:val="single"/>
              </w:rPr>
              <w:t>Apologies</w:t>
            </w:r>
          </w:p>
          <w:p w14:paraId="19212AFD" w14:textId="2C05753C" w:rsidR="00AF440D" w:rsidRDefault="00E67104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81650">
              <w:rPr>
                <w:rFonts w:ascii="Arial" w:hAnsi="Arial" w:cs="Arial"/>
                <w:bCs/>
              </w:rPr>
              <w:t>Klaus Meyer – Education Scotland</w:t>
            </w:r>
          </w:p>
          <w:p w14:paraId="0B7BA74C" w14:textId="21CDC3D0" w:rsidR="00042380" w:rsidRDefault="00042380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McDonald – RBS</w:t>
            </w:r>
          </w:p>
          <w:p w14:paraId="5989E6E7" w14:textId="1A6C0FF3" w:rsidR="008E4C97" w:rsidRDefault="008E4C97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Matthew Barr – Glasgow University</w:t>
            </w:r>
          </w:p>
          <w:p w14:paraId="000B8D54" w14:textId="521DA335" w:rsidR="008E4C97" w:rsidRDefault="008E4C97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Bethany Welsh </w:t>
            </w:r>
            <w:r w:rsidR="00683C81">
              <w:rPr>
                <w:rFonts w:ascii="Arial" w:hAnsi="Arial" w:cs="Arial"/>
                <w:bCs/>
              </w:rPr>
              <w:t xml:space="preserve">– Balfour Beatty </w:t>
            </w:r>
          </w:p>
          <w:p w14:paraId="00D76142" w14:textId="58A3D280" w:rsidR="006E23D3" w:rsidRPr="000C28EC" w:rsidRDefault="001D3A95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C28EC">
              <w:rPr>
                <w:rFonts w:ascii="Arial" w:hAnsi="Arial" w:cs="Arial"/>
                <w:bCs/>
                <w:color w:val="000000" w:themeColor="text1"/>
              </w:rPr>
              <w:t>Andrew MacFarlane - ACS clothing</w:t>
            </w:r>
          </w:p>
          <w:p w14:paraId="1A381108" w14:textId="77777777" w:rsidR="008E4C97" w:rsidRPr="00F81650" w:rsidRDefault="008E4C97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  <w:p w14:paraId="126D75B8" w14:textId="0695F472" w:rsidR="00675316" w:rsidRPr="0092276E" w:rsidRDefault="0076065C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92276E">
              <w:rPr>
                <w:rFonts w:ascii="Arial" w:hAnsi="Arial" w:cs="Arial"/>
                <w:bCs/>
                <w:u w:val="single"/>
              </w:rPr>
              <w:t>Development Manager</w:t>
            </w:r>
          </w:p>
          <w:p w14:paraId="5DE30A28" w14:textId="77777777" w:rsidR="00F81650" w:rsidRPr="00F81650" w:rsidRDefault="00384F4D" w:rsidP="00AB3C6D">
            <w:pPr>
              <w:tabs>
                <w:tab w:val="left" w:pos="720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F81650">
              <w:rPr>
                <w:rFonts w:ascii="Arial" w:hAnsi="Arial" w:cs="Arial"/>
                <w:bCs/>
              </w:rPr>
              <w:t>Liz Hyslop – SDS</w:t>
            </w:r>
          </w:p>
          <w:p w14:paraId="0C4E9628" w14:textId="77777777" w:rsidR="00F81650" w:rsidRPr="00F81650" w:rsidRDefault="00F81650" w:rsidP="00AB3C6D">
            <w:pPr>
              <w:tabs>
                <w:tab w:val="left" w:pos="720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68CC244B" w14:textId="77777777" w:rsidR="0092276E" w:rsidRDefault="00F81650" w:rsidP="00AB3C6D">
            <w:pPr>
              <w:tabs>
                <w:tab w:val="left" w:pos="720"/>
              </w:tabs>
              <w:spacing w:line="240" w:lineRule="auto"/>
              <w:rPr>
                <w:rFonts w:ascii="Arial" w:hAnsi="Arial" w:cs="Arial"/>
                <w:bCs/>
                <w:u w:val="single"/>
              </w:rPr>
            </w:pPr>
            <w:r w:rsidRPr="0092276E">
              <w:rPr>
                <w:rFonts w:ascii="Arial" w:hAnsi="Arial" w:cs="Arial"/>
                <w:bCs/>
                <w:u w:val="single"/>
              </w:rPr>
              <w:t>Observers</w:t>
            </w:r>
          </w:p>
          <w:p w14:paraId="2E3EFB2B" w14:textId="53385EA9" w:rsidR="00F81650" w:rsidRDefault="00384F4D" w:rsidP="00AB3C6D">
            <w:pPr>
              <w:tabs>
                <w:tab w:val="left" w:pos="720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F81650">
              <w:rPr>
                <w:rFonts w:ascii="Arial" w:hAnsi="Arial" w:cs="Arial"/>
                <w:bCs/>
              </w:rPr>
              <w:br/>
            </w:r>
            <w:r w:rsidR="00F81650">
              <w:rPr>
                <w:rFonts w:ascii="Arial" w:hAnsi="Arial" w:cs="Arial"/>
                <w:bCs/>
              </w:rPr>
              <w:t xml:space="preserve">Rohaise </w:t>
            </w:r>
            <w:r w:rsidR="00394A2E">
              <w:rPr>
                <w:rFonts w:ascii="Arial" w:hAnsi="Arial" w:cs="Arial"/>
                <w:bCs/>
              </w:rPr>
              <w:t>Rose-Bristow – The Torridon</w:t>
            </w:r>
          </w:p>
          <w:p w14:paraId="09058E23" w14:textId="0E40D1C9" w:rsidR="00F81650" w:rsidRPr="00F81650" w:rsidRDefault="00F81650" w:rsidP="00AB3C6D">
            <w:pPr>
              <w:tabs>
                <w:tab w:val="left" w:pos="720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Jennifer</w:t>
            </w:r>
            <w:r w:rsidR="0092276E">
              <w:rPr>
                <w:rFonts w:ascii="Arial" w:hAnsi="Arial" w:cs="Arial"/>
                <w:bCs/>
              </w:rPr>
              <w:t xml:space="preserve"> Davies </w:t>
            </w:r>
            <w:r w:rsidR="00A90493">
              <w:rPr>
                <w:rFonts w:ascii="Arial" w:hAnsi="Arial" w:cs="Arial"/>
                <w:bCs/>
              </w:rPr>
              <w:t>– SP Energy</w:t>
            </w:r>
            <w:r w:rsidR="00A76138">
              <w:rPr>
                <w:rFonts w:ascii="Arial" w:hAnsi="Arial" w:cs="Arial"/>
                <w:bCs/>
              </w:rPr>
              <w:t xml:space="preserve"> Networks</w:t>
            </w:r>
          </w:p>
        </w:tc>
        <w:tc>
          <w:tcPr>
            <w:tcW w:w="992" w:type="dxa"/>
            <w:shd w:val="clear" w:color="auto" w:fill="FFFFFF" w:themeFill="background1"/>
          </w:tcPr>
          <w:p w14:paraId="352A87AB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0FB4FB24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B050"/>
              </w:rPr>
            </w:pPr>
          </w:p>
          <w:p w14:paraId="2D13521F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51985546" w14:textId="77777777" w:rsidTr="000073BC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5B85E3F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655" w:type="dxa"/>
            <w:shd w:val="clear" w:color="auto" w:fill="FFFFFF" w:themeFill="background1"/>
          </w:tcPr>
          <w:p w14:paraId="3A86BDF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992" w:type="dxa"/>
            <w:shd w:val="clear" w:color="auto" w:fill="FFFFFF" w:themeFill="background1"/>
          </w:tcPr>
          <w:p w14:paraId="5E327AA8" w14:textId="77777777" w:rsidR="008C15BE" w:rsidRPr="00A266B2" w:rsidRDefault="008C15B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45601C8B" w14:textId="77777777" w:rsidTr="000073BC">
        <w:tc>
          <w:tcPr>
            <w:tcW w:w="851" w:type="dxa"/>
            <w:shd w:val="clear" w:color="auto" w:fill="FFFFFF" w:themeFill="background1"/>
          </w:tcPr>
          <w:p w14:paraId="5C0C3AE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3D718F86" w14:textId="402DC83B" w:rsidR="007F584B" w:rsidRDefault="0032223A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RJ introduced new employer</w:t>
            </w:r>
            <w:r w:rsidR="00A76138"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Rohaise and Jennifer</w:t>
            </w:r>
            <w:r w:rsidR="00A76138">
              <w:rPr>
                <w:rFonts w:ascii="Arial" w:hAnsi="Arial" w:cs="Arial"/>
                <w:sz w:val="22"/>
                <w:szCs w:val="22"/>
              </w:rPr>
              <w:t xml:space="preserve"> who are in attendance as observers.</w:t>
            </w:r>
          </w:p>
          <w:p w14:paraId="1C337F01" w14:textId="77777777" w:rsidR="001F3C83" w:rsidRDefault="001F3C83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C66C23A" w14:textId="06C9961C" w:rsidR="007D17FC" w:rsidRDefault="00D841D2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GB</w:t>
            </w:r>
            <w:r w:rsidR="00A76138">
              <w:rPr>
                <w:rFonts w:ascii="Arial" w:hAnsi="Arial" w:cs="Arial"/>
                <w:sz w:val="22"/>
                <w:szCs w:val="22"/>
              </w:rPr>
              <w:t xml:space="preserve"> confirmed that GB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TB have a meeting lined up regarding simulation</w:t>
            </w:r>
            <w:r w:rsidR="00423FC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C28EC">
              <w:rPr>
                <w:rFonts w:ascii="Arial" w:hAnsi="Arial" w:cs="Arial"/>
                <w:sz w:val="22"/>
                <w:szCs w:val="22"/>
              </w:rPr>
              <w:t xml:space="preserve">TB </w:t>
            </w:r>
            <w:r w:rsidR="00423FCE">
              <w:rPr>
                <w:rFonts w:ascii="Arial" w:hAnsi="Arial" w:cs="Arial"/>
                <w:sz w:val="22"/>
                <w:szCs w:val="22"/>
              </w:rPr>
              <w:t>confirm</w:t>
            </w:r>
            <w:r w:rsidR="00327C49">
              <w:rPr>
                <w:rFonts w:ascii="Arial" w:hAnsi="Arial" w:cs="Arial"/>
                <w:sz w:val="22"/>
                <w:szCs w:val="22"/>
              </w:rPr>
              <w:t>ed</w:t>
            </w:r>
            <w:r w:rsidR="00423FCE">
              <w:rPr>
                <w:rFonts w:ascii="Arial" w:hAnsi="Arial" w:cs="Arial"/>
                <w:sz w:val="22"/>
                <w:szCs w:val="22"/>
              </w:rPr>
              <w:t xml:space="preserve"> that this </w:t>
            </w:r>
            <w:r w:rsidR="00A76138">
              <w:rPr>
                <w:rFonts w:ascii="Arial" w:hAnsi="Arial" w:cs="Arial"/>
                <w:sz w:val="22"/>
                <w:szCs w:val="22"/>
              </w:rPr>
              <w:t xml:space="preserve">discussion </w:t>
            </w:r>
            <w:r w:rsidR="00423FCE">
              <w:rPr>
                <w:rFonts w:ascii="Arial" w:hAnsi="Arial" w:cs="Arial"/>
                <w:sz w:val="22"/>
                <w:szCs w:val="22"/>
              </w:rPr>
              <w:t xml:space="preserve">is not specific to one framework but </w:t>
            </w:r>
            <w:r w:rsidR="00A76138">
              <w:rPr>
                <w:rFonts w:ascii="Arial" w:hAnsi="Arial" w:cs="Arial"/>
                <w:sz w:val="22"/>
                <w:szCs w:val="22"/>
              </w:rPr>
              <w:t>will be a broader discussion regarding simulation as an assessment method.</w:t>
            </w:r>
          </w:p>
          <w:p w14:paraId="28E378CC" w14:textId="77777777" w:rsidR="007D17FC" w:rsidRDefault="007D17FC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9BB2D1B" w14:textId="36BB0DFC" w:rsidR="000B7009" w:rsidRDefault="00A76138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RJ </w:t>
            </w:r>
            <w:r w:rsidR="00E67B92">
              <w:rPr>
                <w:rFonts w:ascii="Arial" w:hAnsi="Arial" w:cs="Arial"/>
                <w:sz w:val="22"/>
                <w:szCs w:val="22"/>
              </w:rPr>
              <w:t xml:space="preserve">asked if there was anything to update following on from the previous agenda item on SDS/SQA collaboration work. </w:t>
            </w:r>
            <w:r w:rsidR="007D17FC">
              <w:rPr>
                <w:rFonts w:ascii="Arial" w:hAnsi="Arial" w:cs="Arial"/>
                <w:sz w:val="22"/>
                <w:szCs w:val="22"/>
              </w:rPr>
              <w:t xml:space="preserve">TD </w:t>
            </w:r>
            <w:r w:rsidR="00E67B92">
              <w:rPr>
                <w:rFonts w:ascii="Arial" w:hAnsi="Arial" w:cs="Arial"/>
                <w:sz w:val="22"/>
                <w:szCs w:val="22"/>
              </w:rPr>
              <w:t>clarified that outputs are still being finalised and confirmed that th</w:t>
            </w:r>
            <w:r w:rsidR="008B7093">
              <w:rPr>
                <w:rFonts w:ascii="Arial" w:hAnsi="Arial" w:cs="Arial"/>
                <w:sz w:val="22"/>
                <w:szCs w:val="22"/>
              </w:rPr>
              <w:t>ese</w:t>
            </w:r>
            <w:r w:rsidR="00E67B92">
              <w:rPr>
                <w:rFonts w:ascii="Arial" w:hAnsi="Arial" w:cs="Arial"/>
                <w:sz w:val="22"/>
                <w:szCs w:val="22"/>
              </w:rPr>
              <w:t xml:space="preserve"> will be brought back to the group when ready.</w:t>
            </w:r>
          </w:p>
          <w:p w14:paraId="3F41753F" w14:textId="77777777" w:rsidR="000B7009" w:rsidRDefault="000B7009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9E51DE" w14:textId="3DF8E213" w:rsidR="005009B4" w:rsidRDefault="00E67B92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 updated the group that a</w:t>
            </w:r>
            <w:r w:rsidR="000B7009">
              <w:rPr>
                <w:rFonts w:ascii="Arial" w:hAnsi="Arial" w:cs="Arial"/>
                <w:sz w:val="22"/>
                <w:szCs w:val="22"/>
              </w:rPr>
              <w:t xml:space="preserve"> SLWG has been created within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 &amp; Framework</w:t>
            </w:r>
            <w:r w:rsidR="000B7009">
              <w:rPr>
                <w:rFonts w:ascii="Arial" w:hAnsi="Arial" w:cs="Arial"/>
                <w:sz w:val="22"/>
                <w:szCs w:val="22"/>
              </w:rPr>
              <w:t xml:space="preserve"> panel to discuss self-funded developments</w:t>
            </w:r>
            <w:r w:rsidR="0041483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will support the ongoing questions surrounding Equine and Archaeology. TD will </w:t>
            </w:r>
            <w:r w:rsidR="00821FDB">
              <w:rPr>
                <w:rFonts w:ascii="Arial" w:hAnsi="Arial" w:cs="Arial"/>
                <w:sz w:val="22"/>
                <w:szCs w:val="22"/>
              </w:rPr>
              <w:t>catch up with Frank and bring an update to the next meeting.</w:t>
            </w:r>
          </w:p>
          <w:p w14:paraId="1365EA05" w14:textId="77777777" w:rsidR="005009B4" w:rsidRDefault="005009B4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8400B3" w14:textId="006A2F54" w:rsidR="001F3C83" w:rsidRDefault="00821FDB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group celebrated the launch of the Aquaculture Production apprenticeships at SCQF Level 5 and SCQF Level 7.</w:t>
            </w:r>
          </w:p>
          <w:p w14:paraId="09F4008C" w14:textId="77777777" w:rsidR="00D841D2" w:rsidRDefault="00D841D2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42BB02" w14:textId="3930A87B" w:rsidR="00D841D2" w:rsidRPr="00A266B2" w:rsidRDefault="00D841D2" w:rsidP="00E6710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0D095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2CA26E" w14:textId="63DD8AAD" w:rsidR="008E0C21" w:rsidRPr="00A266B2" w:rsidRDefault="008E0C2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67BE9A3A" w14:textId="77777777" w:rsidTr="000073BC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1333DE6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655" w:type="dxa"/>
            <w:shd w:val="clear" w:color="auto" w:fill="FFFFFF" w:themeFill="background1"/>
          </w:tcPr>
          <w:p w14:paraId="47E71FEE" w14:textId="1392B1EF" w:rsidR="005F0D16" w:rsidRPr="00A266B2" w:rsidRDefault="008E48D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E48DE">
              <w:rPr>
                <w:rFonts w:ascii="Arial" w:hAnsi="Arial" w:cs="Arial"/>
                <w:b/>
              </w:rPr>
              <w:t>Horticulture &amp; Greenkeeping (Stage Gate 3: Approval in principle)</w:t>
            </w:r>
          </w:p>
        </w:tc>
        <w:tc>
          <w:tcPr>
            <w:tcW w:w="992" w:type="dxa"/>
            <w:shd w:val="clear" w:color="auto" w:fill="FFFFFF" w:themeFill="background1"/>
          </w:tcPr>
          <w:p w14:paraId="08C0CE7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C4119E1" w14:textId="77777777" w:rsidTr="000073BC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162F96D6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76206E89" w14:textId="12B528AA" w:rsidR="00C5018F" w:rsidRDefault="00817D3C" w:rsidP="00242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GB confirmed that the </w:t>
            </w:r>
            <w:r w:rsidR="00242ED9">
              <w:rPr>
                <w:rFonts w:ascii="Arial" w:hAnsi="Arial" w:cs="Arial"/>
                <w:sz w:val="22"/>
                <w:szCs w:val="22"/>
              </w:rPr>
              <w:t>Qualification Products haven’t yet been approved for these developments</w:t>
            </w:r>
            <w:r w:rsidR="00914DD8">
              <w:rPr>
                <w:rFonts w:ascii="Arial" w:hAnsi="Arial" w:cs="Arial"/>
                <w:sz w:val="22"/>
                <w:szCs w:val="22"/>
              </w:rPr>
              <w:t>,</w:t>
            </w:r>
            <w:r w:rsidR="00C501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LH updated that the </w:t>
            </w:r>
            <w:r w:rsidR="00C5018F" w:rsidRPr="00C5018F">
              <w:rPr>
                <w:rFonts w:ascii="Arial" w:hAnsi="Arial" w:cs="Arial"/>
                <w:sz w:val="22"/>
                <w:szCs w:val="22"/>
              </w:rPr>
              <w:t xml:space="preserve">Qualification Products were reviewed by ACG early December 24 and were subject to some further checks by Accreditation on the </w:t>
            </w:r>
            <w:r w:rsidR="003112F1">
              <w:rPr>
                <w:rFonts w:ascii="Arial" w:hAnsi="Arial" w:cs="Arial"/>
                <w:sz w:val="22"/>
                <w:szCs w:val="22"/>
              </w:rPr>
              <w:t>r</w:t>
            </w:r>
            <w:r w:rsidR="00C5018F" w:rsidRPr="00C5018F">
              <w:rPr>
                <w:rFonts w:ascii="Arial" w:hAnsi="Arial" w:cs="Arial"/>
                <w:sz w:val="22"/>
                <w:szCs w:val="22"/>
              </w:rPr>
              <w:t xml:space="preserve">ules of </w:t>
            </w:r>
            <w:r w:rsidR="003112F1">
              <w:rPr>
                <w:rFonts w:ascii="Arial" w:hAnsi="Arial" w:cs="Arial"/>
                <w:sz w:val="22"/>
                <w:szCs w:val="22"/>
              </w:rPr>
              <w:t>c</w:t>
            </w:r>
            <w:r w:rsidR="00C5018F" w:rsidRPr="00C5018F">
              <w:rPr>
                <w:rFonts w:ascii="Arial" w:hAnsi="Arial" w:cs="Arial"/>
                <w:sz w:val="22"/>
                <w:szCs w:val="22"/>
              </w:rPr>
              <w:t>ombination to ensure the minimum and maximum credit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5018F" w:rsidRPr="00C501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C5018F" w:rsidRPr="00C5018F">
              <w:rPr>
                <w:rFonts w:ascii="Arial" w:hAnsi="Arial" w:cs="Arial"/>
                <w:sz w:val="22"/>
                <w:szCs w:val="22"/>
              </w:rPr>
              <w:t xml:space="preserve"> correct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E8E44B" w14:textId="77777777" w:rsidR="00C5018F" w:rsidRDefault="00C5018F" w:rsidP="00242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D5F931C" w14:textId="4EA3C797" w:rsidR="00555D50" w:rsidRPr="003112F1" w:rsidRDefault="00817D3C" w:rsidP="00242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F1">
              <w:rPr>
                <w:rFonts w:ascii="Arial" w:hAnsi="Arial" w:cs="Arial"/>
                <w:b/>
                <w:bCs/>
                <w:sz w:val="22"/>
                <w:szCs w:val="22"/>
              </w:rPr>
              <w:t>RJ confirmed that t</w:t>
            </w:r>
            <w:r w:rsidR="00A74CED" w:rsidRPr="003112F1">
              <w:rPr>
                <w:rFonts w:ascii="Arial" w:hAnsi="Arial" w:cs="Arial"/>
                <w:b/>
                <w:bCs/>
                <w:sz w:val="22"/>
                <w:szCs w:val="22"/>
              </w:rPr>
              <w:t>he group can only offer approval</w:t>
            </w:r>
            <w:r w:rsidRPr="00311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principle</w:t>
            </w:r>
            <w:r w:rsidR="00A74CED" w:rsidRPr="00311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pending qualification products.</w:t>
            </w:r>
          </w:p>
          <w:p w14:paraId="26238AE8" w14:textId="03356F16" w:rsidR="006056D6" w:rsidRDefault="006056D6" w:rsidP="00242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9ACE62C" w14:textId="5380A966" w:rsidR="00A25ECC" w:rsidRDefault="001168A4" w:rsidP="00BC5A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 clarified that</w:t>
            </w:r>
            <w:r w:rsidR="000C0DA7">
              <w:rPr>
                <w:rFonts w:ascii="Arial" w:hAnsi="Arial" w:cs="Arial"/>
                <w:sz w:val="22"/>
                <w:szCs w:val="22"/>
              </w:rPr>
              <w:t xml:space="preserve"> that these are </w:t>
            </w:r>
            <w:r>
              <w:rPr>
                <w:rFonts w:ascii="Arial" w:hAnsi="Arial" w:cs="Arial"/>
                <w:sz w:val="22"/>
                <w:szCs w:val="22"/>
              </w:rPr>
              <w:t>two</w:t>
            </w:r>
            <w:r w:rsidR="000C0DA7">
              <w:rPr>
                <w:rFonts w:ascii="Arial" w:hAnsi="Arial" w:cs="Arial"/>
                <w:sz w:val="22"/>
                <w:szCs w:val="22"/>
              </w:rPr>
              <w:t xml:space="preserve"> separate frameworks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84888">
              <w:rPr>
                <w:rFonts w:ascii="Arial" w:hAnsi="Arial" w:cs="Arial"/>
                <w:b/>
                <w:bCs/>
                <w:sz w:val="22"/>
                <w:szCs w:val="22"/>
              </w:rPr>
              <w:t>Horticulture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784888">
              <w:rPr>
                <w:rFonts w:ascii="Arial" w:hAnsi="Arial" w:cs="Arial"/>
                <w:b/>
                <w:bCs/>
                <w:sz w:val="22"/>
                <w:szCs w:val="22"/>
              </w:rPr>
              <w:t>Greenkeeping &amp; Sportsturf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534D80">
              <w:rPr>
                <w:rFonts w:ascii="Arial" w:hAnsi="Arial" w:cs="Arial"/>
                <w:sz w:val="22"/>
                <w:szCs w:val="22"/>
              </w:rPr>
              <w:t>, as</w:t>
            </w:r>
            <w:r w:rsidR="000C0D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members</w:t>
            </w:r>
            <w:r w:rsidR="00784888">
              <w:rPr>
                <w:rFonts w:ascii="Arial" w:hAnsi="Arial" w:cs="Arial"/>
                <w:sz w:val="22"/>
                <w:szCs w:val="22"/>
              </w:rPr>
              <w:t xml:space="preserve"> highlighted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D80">
              <w:rPr>
                <w:rFonts w:ascii="Arial" w:hAnsi="Arial" w:cs="Arial"/>
                <w:sz w:val="22"/>
                <w:szCs w:val="22"/>
              </w:rPr>
              <w:t>significant crossover in both AAD documents.</w:t>
            </w:r>
            <w:r w:rsidR="00664A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7A01">
              <w:rPr>
                <w:rFonts w:ascii="Arial" w:hAnsi="Arial" w:cs="Arial"/>
                <w:sz w:val="22"/>
                <w:szCs w:val="22"/>
              </w:rPr>
              <w:t xml:space="preserve">LH confirmed that </w:t>
            </w:r>
            <w:r w:rsidR="00664A2E">
              <w:rPr>
                <w:rFonts w:ascii="Arial" w:hAnsi="Arial" w:cs="Arial"/>
                <w:sz w:val="22"/>
                <w:szCs w:val="22"/>
              </w:rPr>
              <w:t>historically</w:t>
            </w:r>
            <w:r w:rsidR="002A7A01">
              <w:rPr>
                <w:rFonts w:ascii="Arial" w:hAnsi="Arial" w:cs="Arial"/>
                <w:sz w:val="22"/>
                <w:szCs w:val="22"/>
              </w:rPr>
              <w:t xml:space="preserve"> Horticulture, Greenkeeping and Sportsturf sat within the same </w:t>
            </w:r>
            <w:r w:rsidR="001E421B">
              <w:rPr>
                <w:rFonts w:ascii="Arial" w:hAnsi="Arial" w:cs="Arial"/>
                <w:sz w:val="22"/>
                <w:szCs w:val="22"/>
              </w:rPr>
              <w:t>apprenticeship</w:t>
            </w:r>
            <w:r w:rsidR="00664A2E">
              <w:rPr>
                <w:rFonts w:ascii="Arial" w:hAnsi="Arial" w:cs="Arial"/>
                <w:sz w:val="22"/>
                <w:szCs w:val="22"/>
              </w:rPr>
              <w:t xml:space="preserve"> framework</w:t>
            </w:r>
            <w:r w:rsidR="001E421B">
              <w:rPr>
                <w:rFonts w:ascii="Arial" w:hAnsi="Arial" w:cs="Arial"/>
                <w:sz w:val="22"/>
                <w:szCs w:val="22"/>
              </w:rPr>
              <w:t xml:space="preserve">, however following consultation and significant pressure from industry, these were separated out. </w:t>
            </w:r>
          </w:p>
          <w:p w14:paraId="4221D5D6" w14:textId="77777777" w:rsidR="001E421B" w:rsidRDefault="001E421B" w:rsidP="001E42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DB55C04" w14:textId="1D850EFB" w:rsidR="00534D80" w:rsidRDefault="002A7A01" w:rsidP="001E42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E421B">
              <w:rPr>
                <w:rFonts w:ascii="Arial" w:hAnsi="Arial" w:cs="Arial"/>
                <w:sz w:val="22"/>
                <w:szCs w:val="22"/>
              </w:rPr>
              <w:t>Members asked if there could be a breakdown on figures on the current uptake</w:t>
            </w:r>
            <w:r w:rsidR="00552C84" w:rsidRPr="001E421B">
              <w:rPr>
                <w:rFonts w:ascii="Arial" w:hAnsi="Arial" w:cs="Arial"/>
                <w:sz w:val="22"/>
                <w:szCs w:val="22"/>
              </w:rPr>
              <w:t xml:space="preserve">. TD </w:t>
            </w:r>
            <w:r w:rsidR="00534D80">
              <w:rPr>
                <w:rFonts w:ascii="Arial" w:hAnsi="Arial" w:cs="Arial"/>
                <w:sz w:val="22"/>
                <w:szCs w:val="22"/>
              </w:rPr>
              <w:t>confirme</w:t>
            </w:r>
            <w:r w:rsidR="00B93968">
              <w:rPr>
                <w:rFonts w:ascii="Arial" w:hAnsi="Arial" w:cs="Arial"/>
                <w:sz w:val="22"/>
                <w:szCs w:val="22"/>
              </w:rPr>
              <w:t>d</w:t>
            </w:r>
            <w:r w:rsidR="00534D80">
              <w:rPr>
                <w:rFonts w:ascii="Arial" w:hAnsi="Arial" w:cs="Arial"/>
                <w:sz w:val="22"/>
                <w:szCs w:val="22"/>
              </w:rPr>
              <w:t xml:space="preserve"> the most recent stats.</w:t>
            </w:r>
          </w:p>
          <w:p w14:paraId="61E3D1CA" w14:textId="2714D719" w:rsidR="00703510" w:rsidRPr="00534D80" w:rsidRDefault="00534D80" w:rsidP="00534D80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34D80">
              <w:rPr>
                <w:rFonts w:ascii="Arial" w:hAnsi="Arial" w:cs="Arial"/>
                <w:sz w:val="22"/>
                <w:szCs w:val="22"/>
              </w:rPr>
              <w:t>T</w:t>
            </w:r>
            <w:r w:rsidR="00552C84" w:rsidRPr="00534D80">
              <w:rPr>
                <w:rFonts w:ascii="Arial" w:hAnsi="Arial" w:cs="Arial"/>
                <w:sz w:val="22"/>
                <w:szCs w:val="22"/>
              </w:rPr>
              <w:t>otal starts Sportsturf – 74, Horticulture – 94</w:t>
            </w:r>
          </w:p>
          <w:p w14:paraId="59E06EC9" w14:textId="77777777" w:rsidR="00BC5A4F" w:rsidRDefault="00BC5A4F" w:rsidP="00BC5A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D0B4BCC" w14:textId="5CD0C8D8" w:rsidR="00534D80" w:rsidRDefault="00534D80" w:rsidP="00BC5A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noted concerns</w:t>
            </w:r>
            <w:r w:rsidR="00122C38">
              <w:rPr>
                <w:rFonts w:ascii="Arial" w:hAnsi="Arial" w:cs="Arial"/>
                <w:sz w:val="22"/>
                <w:szCs w:val="22"/>
              </w:rPr>
              <w:t xml:space="preserve"> over the hybrid nature of the framework (using both NOS and Work Situations), </w:t>
            </w:r>
            <w:r w:rsidR="00DD41E6">
              <w:rPr>
                <w:rFonts w:ascii="Arial" w:hAnsi="Arial" w:cs="Arial"/>
                <w:sz w:val="22"/>
                <w:szCs w:val="22"/>
              </w:rPr>
              <w:t>as</w:t>
            </w:r>
            <w:r>
              <w:rPr>
                <w:rFonts w:ascii="Arial" w:hAnsi="Arial" w:cs="Arial"/>
                <w:sz w:val="22"/>
                <w:szCs w:val="22"/>
              </w:rPr>
              <w:t xml:space="preserve"> we are</w:t>
            </w:r>
            <w:r w:rsidR="00DD41E6">
              <w:rPr>
                <w:rFonts w:ascii="Arial" w:hAnsi="Arial" w:cs="Arial"/>
                <w:sz w:val="22"/>
                <w:szCs w:val="22"/>
              </w:rPr>
              <w:t xml:space="preserve"> moving back towards sole use of NOS. </w:t>
            </w:r>
            <w:r w:rsidR="00DD41E6" w:rsidRPr="00BA0744">
              <w:rPr>
                <w:rFonts w:ascii="Arial" w:hAnsi="Arial" w:cs="Arial"/>
                <w:sz w:val="22"/>
                <w:szCs w:val="22"/>
              </w:rPr>
              <w:t>Members asked if there cou</w:t>
            </w:r>
            <w:r w:rsidR="00BA0744" w:rsidRPr="00BA0744">
              <w:rPr>
                <w:rFonts w:ascii="Arial" w:hAnsi="Arial" w:cs="Arial"/>
                <w:sz w:val="22"/>
                <w:szCs w:val="22"/>
              </w:rPr>
              <w:t xml:space="preserve">ld be a </w:t>
            </w:r>
            <w:r w:rsidR="0095215B">
              <w:rPr>
                <w:rFonts w:ascii="Arial" w:hAnsi="Arial" w:cs="Arial"/>
                <w:sz w:val="22"/>
                <w:szCs w:val="22"/>
              </w:rPr>
              <w:t>response prepared for stakeholders who share these concerns</w:t>
            </w:r>
            <w:r w:rsidR="00B40CB6">
              <w:rPr>
                <w:rFonts w:ascii="Arial" w:hAnsi="Arial" w:cs="Arial"/>
                <w:sz w:val="22"/>
                <w:szCs w:val="22"/>
              </w:rPr>
              <w:t xml:space="preserve"> – articulating the </w:t>
            </w:r>
            <w:r w:rsidR="00946037">
              <w:rPr>
                <w:rFonts w:ascii="Arial" w:hAnsi="Arial" w:cs="Arial"/>
                <w:sz w:val="22"/>
                <w:szCs w:val="22"/>
              </w:rPr>
              <w:t>amount of consultation from Liz and the development team to support this hybrid model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04BEBA" w14:textId="77777777" w:rsidR="00534D80" w:rsidRDefault="00534D80" w:rsidP="00BC5A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D92FA10" w14:textId="031EFDED" w:rsidR="00534D80" w:rsidRDefault="00946037" w:rsidP="00BC5A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34D80">
              <w:rPr>
                <w:rFonts w:ascii="Arial" w:hAnsi="Arial" w:cs="Arial"/>
                <w:color w:val="FF0000"/>
                <w:sz w:val="22"/>
                <w:szCs w:val="22"/>
              </w:rPr>
              <w:t xml:space="preserve">TD will prepare </w:t>
            </w:r>
            <w:r w:rsidR="00F84BD2" w:rsidRPr="00534D80">
              <w:rPr>
                <w:rFonts w:ascii="Arial" w:hAnsi="Arial" w:cs="Arial"/>
                <w:color w:val="FF0000"/>
                <w:sz w:val="22"/>
                <w:szCs w:val="22"/>
              </w:rPr>
              <w:t>a statement for members to use and share.</w:t>
            </w:r>
            <w:r w:rsidR="00F84B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18902A" w14:textId="77777777" w:rsidR="00534D80" w:rsidRDefault="00534D80" w:rsidP="00BC5A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F4E7836" w14:textId="5700151C" w:rsidR="00DD41E6" w:rsidRDefault="00534D80" w:rsidP="00BC5A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84BD2">
              <w:rPr>
                <w:rFonts w:ascii="Arial" w:hAnsi="Arial" w:cs="Arial"/>
                <w:sz w:val="22"/>
                <w:szCs w:val="22"/>
              </w:rPr>
              <w:t>D highlighted that al</w:t>
            </w:r>
            <w:r>
              <w:rPr>
                <w:rFonts w:ascii="Arial" w:hAnsi="Arial" w:cs="Arial"/>
                <w:sz w:val="22"/>
                <w:szCs w:val="22"/>
              </w:rPr>
              <w:t xml:space="preserve">though </w:t>
            </w:r>
            <w:r w:rsidR="00F84BD2">
              <w:rPr>
                <w:rFonts w:ascii="Arial" w:hAnsi="Arial" w:cs="Arial"/>
                <w:sz w:val="22"/>
                <w:szCs w:val="22"/>
              </w:rPr>
              <w:t xml:space="preserve">the hybrid model of NOS and WS is no longer being used (moving to NOS only), the framework itself is not outdated and </w:t>
            </w:r>
            <w:r w:rsidR="00F84BD2">
              <w:rPr>
                <w:rFonts w:ascii="Arial" w:hAnsi="Arial" w:cs="Arial"/>
                <w:sz w:val="22"/>
                <w:szCs w:val="22"/>
              </w:rPr>
              <w:lastRenderedPageBreak/>
              <w:t xml:space="preserve">has been supported by vast amount of stakeholder </w:t>
            </w:r>
            <w:r w:rsidR="00EF13A8">
              <w:rPr>
                <w:rFonts w:ascii="Arial" w:hAnsi="Arial" w:cs="Arial"/>
                <w:sz w:val="22"/>
                <w:szCs w:val="22"/>
              </w:rPr>
              <w:t>consultation with industry.</w:t>
            </w:r>
          </w:p>
          <w:p w14:paraId="65BBCBD2" w14:textId="77777777" w:rsidR="00534D80" w:rsidRDefault="00534D80" w:rsidP="00534D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0FFF3E8" w14:textId="2C63D766" w:rsidR="00EF13A8" w:rsidRDefault="00461082" w:rsidP="00534D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534D80">
              <w:rPr>
                <w:rFonts w:ascii="Arial" w:hAnsi="Arial" w:cs="Arial"/>
                <w:sz w:val="22"/>
                <w:szCs w:val="22"/>
              </w:rPr>
              <w:t xml:space="preserve">praised </w:t>
            </w:r>
            <w:r w:rsidR="003D35CA">
              <w:rPr>
                <w:rFonts w:ascii="Arial" w:hAnsi="Arial" w:cs="Arial"/>
                <w:sz w:val="22"/>
                <w:szCs w:val="22"/>
              </w:rPr>
              <w:t xml:space="preserve">high level </w:t>
            </w:r>
            <w:r w:rsidR="00534D80">
              <w:rPr>
                <w:rFonts w:ascii="Arial" w:hAnsi="Arial" w:cs="Arial"/>
                <w:sz w:val="22"/>
                <w:szCs w:val="22"/>
              </w:rPr>
              <w:t>of consultation</w:t>
            </w:r>
            <w:r w:rsidR="003D35CA">
              <w:rPr>
                <w:rFonts w:ascii="Arial" w:hAnsi="Arial" w:cs="Arial"/>
                <w:sz w:val="22"/>
                <w:szCs w:val="22"/>
              </w:rPr>
              <w:t xml:space="preserve"> throughout</w:t>
            </w:r>
            <w:r w:rsidR="00534D8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16D93">
              <w:rPr>
                <w:rFonts w:ascii="Arial" w:hAnsi="Arial" w:cs="Arial"/>
                <w:sz w:val="22"/>
                <w:szCs w:val="22"/>
              </w:rPr>
              <w:t>expressed</w:t>
            </w:r>
            <w:r w:rsidR="00534D80">
              <w:rPr>
                <w:rFonts w:ascii="Arial" w:hAnsi="Arial" w:cs="Arial"/>
                <w:sz w:val="22"/>
                <w:szCs w:val="22"/>
              </w:rPr>
              <w:t xml:space="preserve"> their confidence </w:t>
            </w:r>
            <w:r w:rsidR="00B16D93">
              <w:rPr>
                <w:rFonts w:ascii="Arial" w:hAnsi="Arial" w:cs="Arial"/>
                <w:sz w:val="22"/>
                <w:szCs w:val="22"/>
              </w:rPr>
              <w:t>in</w:t>
            </w:r>
            <w:r w:rsidR="007626BA">
              <w:rPr>
                <w:rFonts w:ascii="Arial" w:hAnsi="Arial" w:cs="Arial"/>
                <w:sz w:val="22"/>
                <w:szCs w:val="22"/>
              </w:rPr>
              <w:t xml:space="preserve"> industry support for the frameworks.</w:t>
            </w:r>
          </w:p>
          <w:p w14:paraId="6D780E71" w14:textId="6CBB3AF8" w:rsidR="00D52F80" w:rsidRDefault="00D52F80" w:rsidP="00D52F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966BA4A" w14:textId="0D9AFFD5" w:rsidR="002D0CC6" w:rsidRDefault="00D52F80" w:rsidP="00D52F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</w:t>
            </w:r>
            <w:r w:rsidR="003D35CA">
              <w:rPr>
                <w:rFonts w:ascii="Arial" w:hAnsi="Arial" w:cs="Arial"/>
                <w:sz w:val="22"/>
                <w:szCs w:val="22"/>
              </w:rPr>
              <w:t xml:space="preserve"> question</w:t>
            </w:r>
            <w:r w:rsidR="00DF2529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5CA">
              <w:rPr>
                <w:rFonts w:ascii="Arial" w:hAnsi="Arial" w:cs="Arial"/>
                <w:sz w:val="22"/>
                <w:szCs w:val="22"/>
              </w:rPr>
              <w:t>why the current SVQs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included </w:t>
            </w:r>
            <w:r w:rsidR="003D35CA">
              <w:rPr>
                <w:rFonts w:ascii="Arial" w:hAnsi="Arial" w:cs="Arial"/>
                <w:sz w:val="22"/>
                <w:szCs w:val="22"/>
              </w:rPr>
              <w:t>as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progression </w:t>
            </w:r>
            <w:r w:rsidR="00BF0492">
              <w:rPr>
                <w:rFonts w:ascii="Arial" w:hAnsi="Arial" w:cs="Arial"/>
                <w:sz w:val="22"/>
                <w:szCs w:val="22"/>
              </w:rPr>
              <w:t>opportunities</w:t>
            </w:r>
            <w:r w:rsidR="003D35C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F0492">
              <w:rPr>
                <w:rFonts w:ascii="Arial" w:hAnsi="Arial" w:cs="Arial"/>
                <w:sz w:val="22"/>
                <w:szCs w:val="22"/>
              </w:rPr>
              <w:t xml:space="preserve">LH </w:t>
            </w:r>
            <w:r w:rsidR="003D35CA">
              <w:rPr>
                <w:rFonts w:ascii="Arial" w:hAnsi="Arial" w:cs="Arial"/>
                <w:sz w:val="22"/>
                <w:szCs w:val="22"/>
              </w:rPr>
              <w:t>confirmed</w:t>
            </w:r>
            <w:r w:rsidR="00BF0492">
              <w:rPr>
                <w:rFonts w:ascii="Arial" w:hAnsi="Arial" w:cs="Arial"/>
                <w:sz w:val="22"/>
                <w:szCs w:val="22"/>
              </w:rPr>
              <w:t xml:space="preserve"> that the awarding body </w:t>
            </w:r>
            <w:r w:rsidR="003A34AF">
              <w:rPr>
                <w:rFonts w:ascii="Arial" w:hAnsi="Arial" w:cs="Arial"/>
                <w:sz w:val="22"/>
                <w:szCs w:val="22"/>
              </w:rPr>
              <w:t xml:space="preserve">intends to keep the current SVQs </w:t>
            </w:r>
            <w:r w:rsidR="00DF2529">
              <w:rPr>
                <w:rFonts w:ascii="Arial" w:hAnsi="Arial" w:cs="Arial"/>
                <w:sz w:val="22"/>
                <w:szCs w:val="22"/>
              </w:rPr>
              <w:t xml:space="preserve">live. </w:t>
            </w:r>
            <w:r w:rsidR="002D0CC6">
              <w:rPr>
                <w:rFonts w:ascii="Arial" w:hAnsi="Arial" w:cs="Arial"/>
                <w:sz w:val="22"/>
                <w:szCs w:val="22"/>
              </w:rPr>
              <w:t>Members highlighted that the L</w:t>
            </w:r>
            <w:r w:rsidR="00DF2529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2D0CC6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DF2529">
              <w:rPr>
                <w:rFonts w:ascii="Arial" w:hAnsi="Arial" w:cs="Arial"/>
                <w:sz w:val="22"/>
                <w:szCs w:val="22"/>
              </w:rPr>
              <w:t>apprenticeship</w:t>
            </w:r>
            <w:r w:rsidR="002D0CC6">
              <w:rPr>
                <w:rFonts w:ascii="Arial" w:hAnsi="Arial" w:cs="Arial"/>
                <w:sz w:val="22"/>
                <w:szCs w:val="22"/>
              </w:rPr>
              <w:t xml:space="preserve"> needs to be added into </w:t>
            </w:r>
            <w:r w:rsidR="00D2275A">
              <w:rPr>
                <w:rFonts w:ascii="Arial" w:hAnsi="Arial" w:cs="Arial"/>
                <w:sz w:val="22"/>
                <w:szCs w:val="22"/>
              </w:rPr>
              <w:t>the L5 progression</w:t>
            </w:r>
            <w:r w:rsidR="00DF2529">
              <w:rPr>
                <w:rFonts w:ascii="Arial" w:hAnsi="Arial" w:cs="Arial"/>
                <w:sz w:val="22"/>
                <w:szCs w:val="22"/>
              </w:rPr>
              <w:t xml:space="preserve"> section. </w:t>
            </w:r>
          </w:p>
          <w:p w14:paraId="6380385B" w14:textId="77777777" w:rsidR="00D2275A" w:rsidRDefault="00D2275A" w:rsidP="00D52F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5B82F5E" w14:textId="3486743F" w:rsidR="008104FF" w:rsidRDefault="005039F0" w:rsidP="00D52F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asked for clarity on Core Skills </w:t>
            </w:r>
            <w:r w:rsidR="008C28B5">
              <w:rPr>
                <w:rFonts w:ascii="Arial" w:hAnsi="Arial" w:cs="Arial"/>
                <w:sz w:val="22"/>
                <w:szCs w:val="22"/>
              </w:rPr>
              <w:t>consultation.</w:t>
            </w:r>
            <w:r w:rsidR="00B73738">
              <w:rPr>
                <w:rFonts w:ascii="Arial" w:hAnsi="Arial" w:cs="Arial"/>
                <w:sz w:val="22"/>
                <w:szCs w:val="22"/>
              </w:rPr>
              <w:t xml:space="preserve"> NC explained that the TEG initially agreed for these to be included as optional for those who haven’t </w:t>
            </w:r>
            <w:r w:rsidR="008104FF">
              <w:rPr>
                <w:rFonts w:ascii="Arial" w:hAnsi="Arial" w:cs="Arial"/>
                <w:sz w:val="22"/>
                <w:szCs w:val="22"/>
              </w:rPr>
              <w:t xml:space="preserve">already completed, following clarification on policy, the core skills were then embedded. LH confirmed that TEG </w:t>
            </w:r>
            <w:r w:rsidR="00EB6A52">
              <w:rPr>
                <w:rFonts w:ascii="Arial" w:hAnsi="Arial" w:cs="Arial"/>
                <w:sz w:val="22"/>
                <w:szCs w:val="22"/>
              </w:rPr>
              <w:t>agreed on the proposed levels</w:t>
            </w:r>
            <w:r w:rsidR="008104FF">
              <w:rPr>
                <w:rFonts w:ascii="Arial" w:hAnsi="Arial" w:cs="Arial"/>
                <w:sz w:val="22"/>
                <w:szCs w:val="22"/>
              </w:rPr>
              <w:t xml:space="preserve"> and signed of</w:t>
            </w:r>
            <w:r w:rsidR="00F061CB">
              <w:rPr>
                <w:rFonts w:ascii="Arial" w:hAnsi="Arial" w:cs="Arial"/>
                <w:sz w:val="22"/>
                <w:szCs w:val="22"/>
              </w:rPr>
              <w:t>f</w:t>
            </w:r>
            <w:r w:rsidR="00EB6A52">
              <w:rPr>
                <w:rFonts w:ascii="Arial" w:hAnsi="Arial" w:cs="Arial"/>
                <w:sz w:val="22"/>
                <w:szCs w:val="22"/>
              </w:rPr>
              <w:t xml:space="preserve"> the mapping </w:t>
            </w:r>
            <w:r>
              <w:rPr>
                <w:rFonts w:ascii="Arial" w:hAnsi="Arial" w:cs="Arial"/>
                <w:sz w:val="22"/>
                <w:szCs w:val="22"/>
              </w:rPr>
              <w:t>exercise</w:t>
            </w:r>
            <w:r w:rsidR="00F061CB">
              <w:rPr>
                <w:rFonts w:ascii="Arial" w:hAnsi="Arial" w:cs="Arial"/>
                <w:sz w:val="22"/>
                <w:szCs w:val="22"/>
              </w:rPr>
              <w:t>, LH will update the AAD to reflect this.</w:t>
            </w:r>
          </w:p>
          <w:p w14:paraId="4D5D74AB" w14:textId="77777777" w:rsidR="00687500" w:rsidRDefault="00687500" w:rsidP="00D52F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7E4CF2A" w14:textId="46D767F8" w:rsidR="003A34AF" w:rsidRPr="008C28B5" w:rsidRDefault="00687500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were </w:t>
            </w:r>
            <w:r w:rsidR="008C28B5">
              <w:rPr>
                <w:rFonts w:ascii="Arial" w:hAnsi="Arial" w:cs="Arial"/>
                <w:sz w:val="22"/>
                <w:szCs w:val="22"/>
              </w:rPr>
              <w:t xml:space="preserve">extremely </w:t>
            </w:r>
            <w:r>
              <w:rPr>
                <w:rFonts w:ascii="Arial" w:hAnsi="Arial" w:cs="Arial"/>
                <w:sz w:val="22"/>
                <w:szCs w:val="22"/>
              </w:rPr>
              <w:t>complimentary on the detail which has gone into the NOS and WS and accompanying qualification structures and are confident in the consultation that has been carried out with sector.</w:t>
            </w:r>
          </w:p>
          <w:p w14:paraId="1D79A802" w14:textId="77777777" w:rsidR="00427EE4" w:rsidRDefault="00427EE4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CFE062C" w14:textId="1D28F635" w:rsidR="00427EE4" w:rsidRDefault="00427EE4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Framework documents </w:t>
            </w:r>
          </w:p>
          <w:p w14:paraId="33B578D5" w14:textId="67EB75B8" w:rsidR="00427EE4" w:rsidRDefault="00427EE4" w:rsidP="00427EE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Clarification of </w:t>
            </w:r>
            <w:r w:rsidR="008C28B5"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="008C28B5">
              <w:rPr>
                <w:rFonts w:ascii="Arial" w:hAnsi="Arial" w:cs="Arial"/>
                <w:sz w:val="22"/>
                <w:szCs w:val="22"/>
              </w:rPr>
              <w:t>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41E6">
              <w:rPr>
                <w:rFonts w:ascii="Arial" w:hAnsi="Arial" w:cs="Arial"/>
                <w:sz w:val="22"/>
                <w:szCs w:val="22"/>
              </w:rPr>
              <w:t>L</w:t>
            </w:r>
            <w:r w:rsidR="008C28B5">
              <w:rPr>
                <w:rFonts w:ascii="Arial" w:hAnsi="Arial" w:cs="Arial"/>
                <w:sz w:val="22"/>
                <w:szCs w:val="22"/>
              </w:rPr>
              <w:t>H</w:t>
            </w:r>
            <w:r w:rsidR="002841E6">
              <w:rPr>
                <w:rFonts w:ascii="Arial" w:hAnsi="Arial" w:cs="Arial"/>
                <w:sz w:val="22"/>
                <w:szCs w:val="22"/>
              </w:rPr>
              <w:t xml:space="preserve"> will update and ensure consistent throughout.</w:t>
            </w:r>
          </w:p>
          <w:p w14:paraId="042F21D5" w14:textId="41039B1C" w:rsidR="0041305A" w:rsidRDefault="008C28B5" w:rsidP="00427EE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Greenkeeping &amp; Sportsturf SCQF L5, member flagged that in the</w:t>
            </w:r>
            <w:r w:rsidR="0041305A">
              <w:rPr>
                <w:rFonts w:ascii="Arial" w:hAnsi="Arial" w:cs="Arial"/>
                <w:sz w:val="22"/>
                <w:szCs w:val="22"/>
              </w:rPr>
              <w:t xml:space="preserve"> defining meta-skills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="0041305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1305A">
              <w:rPr>
                <w:rFonts w:ascii="Arial" w:hAnsi="Arial" w:cs="Arial"/>
                <w:sz w:val="22"/>
                <w:szCs w:val="22"/>
              </w:rPr>
              <w:t>descriptions need tid</w:t>
            </w:r>
            <w:r>
              <w:rPr>
                <w:rFonts w:ascii="Arial" w:hAnsi="Arial" w:cs="Arial"/>
                <w:sz w:val="22"/>
                <w:szCs w:val="22"/>
              </w:rPr>
              <w:t>ied</w:t>
            </w:r>
            <w:r w:rsidR="0041305A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273177">
              <w:rPr>
                <w:rFonts w:ascii="Arial" w:hAnsi="Arial" w:cs="Arial"/>
                <w:sz w:val="22"/>
                <w:szCs w:val="22"/>
              </w:rPr>
              <w:t>p.</w:t>
            </w:r>
          </w:p>
          <w:p w14:paraId="7E8A795D" w14:textId="77777777" w:rsidR="00E46D20" w:rsidRDefault="00E46D20" w:rsidP="00E46D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DDD8FE6" w14:textId="7DFF4E6E" w:rsidR="003A34AF" w:rsidRDefault="00D00889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08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Frameworks </w:t>
            </w:r>
            <w:r w:rsidRPr="000C28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approved</w:t>
            </w:r>
            <w:r w:rsidR="00430770" w:rsidRPr="000C28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in principle</w:t>
            </w:r>
            <w:r w:rsidRPr="000C28E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00889">
              <w:rPr>
                <w:rFonts w:ascii="Arial" w:hAnsi="Arial" w:cs="Arial"/>
                <w:b/>
                <w:bCs/>
                <w:sz w:val="22"/>
                <w:szCs w:val="22"/>
              </w:rPr>
              <w:t>pending approval of the Qualification Products.</w:t>
            </w:r>
          </w:p>
          <w:p w14:paraId="4BFDED1E" w14:textId="79A7BE4F" w:rsidR="003D70EF" w:rsidRPr="00D00889" w:rsidRDefault="003D70EF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9EC8AA" w14:textId="77777777" w:rsidR="005F0D16" w:rsidRPr="005F5CE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D786178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B8519F1" w14:textId="373A4C9E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250316C2" w14:textId="77777777" w:rsidTr="000073BC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088A92B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655" w:type="dxa"/>
            <w:shd w:val="clear" w:color="auto" w:fill="FFFFFF" w:themeFill="background1"/>
          </w:tcPr>
          <w:p w14:paraId="472B8FB5" w14:textId="0B1F7597" w:rsidR="005F0D16" w:rsidRPr="00A266B2" w:rsidRDefault="008E48D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E48DE">
              <w:rPr>
                <w:rFonts w:ascii="Arial" w:hAnsi="Arial" w:cs="Arial"/>
                <w:b/>
              </w:rPr>
              <w:t>Custodial Care and Practice (Stage Gate 4: Final approval)</w:t>
            </w:r>
          </w:p>
        </w:tc>
        <w:tc>
          <w:tcPr>
            <w:tcW w:w="992" w:type="dxa"/>
            <w:shd w:val="clear" w:color="auto" w:fill="FFFFFF" w:themeFill="background1"/>
          </w:tcPr>
          <w:p w14:paraId="6D34FE0C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7BA2C9BC" w14:textId="77777777" w:rsidTr="000073BC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028CE8D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5ED00FD7" w14:textId="77777777" w:rsidR="003E44EC" w:rsidRDefault="003E44EC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188381F" w14:textId="6D185F65" w:rsidR="00505C0F" w:rsidRDefault="00505C0F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 updated that following meetings with Skills for Justice and Prisoner Officers Association, who are still not supportive of the apprenticeship, it has been agreed that Scottish Prison Service</w:t>
            </w:r>
            <w:r w:rsidR="00F851EF">
              <w:rPr>
                <w:rFonts w:ascii="Arial" w:hAnsi="Arial" w:cs="Arial"/>
                <w:sz w:val="22"/>
                <w:szCs w:val="22"/>
              </w:rPr>
              <w:t xml:space="preserve"> (SPS)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not be included as an employer/provider in the framework, and that it will be taken forward </w:t>
            </w:r>
            <w:r w:rsidR="00841AF2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Police Scotland.</w:t>
            </w:r>
            <w:r w:rsidR="00841AF2">
              <w:rPr>
                <w:rFonts w:ascii="Arial" w:hAnsi="Arial" w:cs="Arial"/>
                <w:sz w:val="22"/>
                <w:szCs w:val="22"/>
              </w:rPr>
              <w:t xml:space="preserve"> This is supported by the most recent submission.</w:t>
            </w:r>
          </w:p>
          <w:p w14:paraId="4381156C" w14:textId="77777777" w:rsidR="00505C0F" w:rsidRDefault="00505C0F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EBBA693" w14:textId="0B8AEE3F" w:rsidR="00830071" w:rsidRDefault="00830071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queried whether S</w:t>
            </w:r>
            <w:r w:rsidR="00F851EF">
              <w:rPr>
                <w:rFonts w:ascii="Arial" w:hAnsi="Arial" w:cs="Arial"/>
                <w:sz w:val="22"/>
                <w:szCs w:val="22"/>
              </w:rPr>
              <w:t>PS</w:t>
            </w:r>
            <w:r>
              <w:rPr>
                <w:rFonts w:ascii="Arial" w:hAnsi="Arial" w:cs="Arial"/>
                <w:sz w:val="22"/>
                <w:szCs w:val="22"/>
              </w:rPr>
              <w:t xml:space="preserve"> could pick this up in the future if they</w:t>
            </w:r>
            <w:r w:rsidR="00841AF2">
              <w:rPr>
                <w:rFonts w:ascii="Arial" w:hAnsi="Arial" w:cs="Arial"/>
                <w:sz w:val="22"/>
                <w:szCs w:val="22"/>
              </w:rPr>
              <w:t xml:space="preserve"> were able to reach agreement with POA. TD flagged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there are no current restrictions in place in</w:t>
            </w:r>
            <w:r w:rsidR="00F31F35">
              <w:rPr>
                <w:rFonts w:ascii="Arial" w:hAnsi="Arial" w:cs="Arial"/>
                <w:sz w:val="22"/>
                <w:szCs w:val="22"/>
              </w:rPr>
              <w:t xml:space="preserve"> SDS</w:t>
            </w:r>
            <w:r>
              <w:rPr>
                <w:rFonts w:ascii="Arial" w:hAnsi="Arial" w:cs="Arial"/>
                <w:sz w:val="22"/>
                <w:szCs w:val="22"/>
              </w:rPr>
              <w:t xml:space="preserve"> operations </w:t>
            </w:r>
            <w:r w:rsidR="00841AF2">
              <w:rPr>
                <w:rFonts w:ascii="Arial" w:hAnsi="Arial" w:cs="Arial"/>
                <w:sz w:val="22"/>
                <w:szCs w:val="22"/>
              </w:rPr>
              <w:t xml:space="preserve">which can prevent </w:t>
            </w:r>
            <w:r w:rsidR="006469A6">
              <w:rPr>
                <w:rFonts w:ascii="Arial" w:hAnsi="Arial" w:cs="Arial"/>
                <w:sz w:val="22"/>
                <w:szCs w:val="22"/>
              </w:rPr>
              <w:t>employers from delivering the framework</w:t>
            </w:r>
            <w:r w:rsidR="00841AF2">
              <w:rPr>
                <w:rFonts w:ascii="Arial" w:hAnsi="Arial" w:cs="Arial"/>
                <w:sz w:val="22"/>
                <w:szCs w:val="22"/>
              </w:rPr>
              <w:t xml:space="preserve">, therefore, SPS could deliver this </w:t>
            </w:r>
            <w:r w:rsidR="00F851EF">
              <w:rPr>
                <w:rFonts w:ascii="Arial" w:hAnsi="Arial" w:cs="Arial"/>
                <w:sz w:val="22"/>
                <w:szCs w:val="22"/>
              </w:rPr>
              <w:t>at any time.</w:t>
            </w:r>
          </w:p>
          <w:p w14:paraId="03D29C31" w14:textId="77777777" w:rsidR="00F851EF" w:rsidRDefault="00F851EF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F10B35E" w14:textId="77E45722" w:rsidR="00F851EF" w:rsidRPr="00F851EF" w:rsidRDefault="00F851EF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851EF">
              <w:rPr>
                <w:rFonts w:ascii="Arial" w:hAnsi="Arial" w:cs="Arial"/>
                <w:color w:val="FF0000"/>
                <w:sz w:val="22"/>
                <w:szCs w:val="22"/>
              </w:rPr>
              <w:t xml:space="preserve">TD will pick this up with NTP Ops to confirm </w:t>
            </w:r>
          </w:p>
          <w:p w14:paraId="4454FD8A" w14:textId="77777777" w:rsidR="00C65AF0" w:rsidRDefault="00C65AF0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AED7B1D" w14:textId="09BEA46E" w:rsidR="00C65AF0" w:rsidRPr="00F31F35" w:rsidRDefault="00F31F35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F35">
              <w:rPr>
                <w:rFonts w:ascii="Arial" w:hAnsi="Arial" w:cs="Arial"/>
                <w:b/>
                <w:bCs/>
                <w:sz w:val="22"/>
                <w:szCs w:val="22"/>
              </w:rPr>
              <w:t>The group approved this framework for delivery</w:t>
            </w:r>
          </w:p>
          <w:p w14:paraId="053E9C54" w14:textId="77777777" w:rsidR="007C1621" w:rsidRDefault="007C1621" w:rsidP="009E4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7B8F398" w14:textId="615E5899" w:rsidR="007C1621" w:rsidRPr="003F537E" w:rsidRDefault="007C1621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D4BA23" w14:textId="77777777" w:rsidR="00175A6B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2CA0806" w14:textId="77777777" w:rsidR="005F0D16" w:rsidRPr="00A266B2" w:rsidRDefault="005F0D16" w:rsidP="009E4FD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F0D16" w:rsidRPr="00A266B2" w14:paraId="239411D4" w14:textId="77777777" w:rsidTr="000073BC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F221F4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655" w:type="dxa"/>
            <w:shd w:val="clear" w:color="auto" w:fill="FFFFFF" w:themeFill="background1"/>
          </w:tcPr>
          <w:p w14:paraId="4B174C99" w14:textId="16EC4590" w:rsidR="005F0D16" w:rsidRPr="00A266B2" w:rsidRDefault="0040121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0121B">
              <w:rPr>
                <w:rFonts w:ascii="Arial" w:hAnsi="Arial" w:cs="Arial"/>
                <w:b/>
              </w:rPr>
              <w:t>Dental Nursing Core Skills</w:t>
            </w:r>
          </w:p>
        </w:tc>
        <w:tc>
          <w:tcPr>
            <w:tcW w:w="992" w:type="dxa"/>
            <w:shd w:val="clear" w:color="auto" w:fill="FFFFFF" w:themeFill="background1"/>
          </w:tcPr>
          <w:p w14:paraId="57E266F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35D0863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27CC989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69C954D5" w14:textId="77777777" w:rsidR="00A618E3" w:rsidRDefault="00CC2DEC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13468E" w14:textId="68112243" w:rsidR="004D4AA3" w:rsidRDefault="00DD77F9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Shellie Montgomery a</w:t>
            </w:r>
            <w:r w:rsidR="00F31F35">
              <w:rPr>
                <w:rFonts w:ascii="Arial" w:hAnsi="Arial" w:cs="Arial"/>
                <w:sz w:val="22"/>
                <w:szCs w:val="22"/>
              </w:rPr>
              <w:t xml:space="preserve">longside </w:t>
            </w:r>
            <w:r w:rsidR="00F442F7">
              <w:rPr>
                <w:rFonts w:ascii="Arial" w:hAnsi="Arial" w:cs="Arial"/>
                <w:sz w:val="22"/>
                <w:szCs w:val="22"/>
              </w:rPr>
              <w:t>representatives from the Dental Nursing development groups,</w:t>
            </w:r>
            <w:r>
              <w:rPr>
                <w:rFonts w:ascii="Arial" w:hAnsi="Arial" w:cs="Arial"/>
                <w:sz w:val="22"/>
                <w:szCs w:val="22"/>
              </w:rPr>
              <w:t xml:space="preserve"> Helen Donaghy and Caroline</w:t>
            </w:r>
            <w:r w:rsidR="008176F3">
              <w:rPr>
                <w:rFonts w:ascii="Arial" w:hAnsi="Arial" w:cs="Arial"/>
                <w:sz w:val="22"/>
                <w:szCs w:val="22"/>
              </w:rPr>
              <w:t xml:space="preserve"> Taylor</w:t>
            </w:r>
            <w:r w:rsidR="00F442F7">
              <w:rPr>
                <w:rFonts w:ascii="Arial" w:hAnsi="Arial" w:cs="Arial"/>
                <w:sz w:val="22"/>
                <w:szCs w:val="22"/>
              </w:rPr>
              <w:t>,</w:t>
            </w:r>
            <w:r w:rsidR="0055572A">
              <w:rPr>
                <w:rFonts w:ascii="Arial" w:hAnsi="Arial" w:cs="Arial"/>
                <w:sz w:val="22"/>
                <w:szCs w:val="22"/>
              </w:rPr>
              <w:t xml:space="preserve"> presented </w:t>
            </w:r>
            <w:r w:rsidR="008176F3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55572A">
              <w:rPr>
                <w:rFonts w:ascii="Arial" w:hAnsi="Arial" w:cs="Arial"/>
                <w:sz w:val="22"/>
                <w:szCs w:val="22"/>
              </w:rPr>
              <w:lastRenderedPageBreak/>
              <w:t xml:space="preserve">update on the current </w:t>
            </w:r>
            <w:r w:rsidR="008A28D6">
              <w:rPr>
                <w:rFonts w:ascii="Arial" w:hAnsi="Arial" w:cs="Arial"/>
                <w:sz w:val="22"/>
                <w:szCs w:val="22"/>
              </w:rPr>
              <w:t xml:space="preserve">discussions </w:t>
            </w:r>
            <w:r w:rsidR="0055572A">
              <w:rPr>
                <w:rFonts w:ascii="Arial" w:hAnsi="Arial" w:cs="Arial"/>
                <w:sz w:val="22"/>
                <w:szCs w:val="22"/>
              </w:rPr>
              <w:t>ongoing with Dental Nursing and the accompanying Core Skills</w:t>
            </w:r>
            <w:r w:rsidR="008A28D6">
              <w:rPr>
                <w:rFonts w:ascii="Arial" w:hAnsi="Arial" w:cs="Arial"/>
                <w:sz w:val="22"/>
                <w:szCs w:val="22"/>
              </w:rPr>
              <w:t xml:space="preserve"> – focusing on a proposed Numeracy Core Skill sitting at SCQF L3</w:t>
            </w:r>
          </w:p>
          <w:p w14:paraId="13B2AE64" w14:textId="77777777" w:rsidR="004D4AA3" w:rsidRDefault="004D4AA3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592CEE3" w14:textId="774415EA" w:rsidR="004D4AA3" w:rsidRDefault="00AB6A3B" w:rsidP="00D2282B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feel a wider conversation on Numeracy </w:t>
            </w:r>
            <w:r w:rsidR="00CD3BE3">
              <w:rPr>
                <w:rFonts w:ascii="Arial" w:hAnsi="Arial" w:cs="Arial"/>
                <w:sz w:val="22"/>
                <w:szCs w:val="22"/>
              </w:rPr>
              <w:t xml:space="preserve">as a Core Skill </w:t>
            </w:r>
            <w:r w:rsidR="008A28D6">
              <w:rPr>
                <w:rFonts w:ascii="Arial" w:hAnsi="Arial" w:cs="Arial"/>
                <w:sz w:val="22"/>
                <w:szCs w:val="22"/>
              </w:rPr>
              <w:t>is require</w:t>
            </w:r>
            <w:r w:rsidR="00455C96">
              <w:rPr>
                <w:rFonts w:ascii="Arial" w:hAnsi="Arial" w:cs="Arial"/>
                <w:sz w:val="22"/>
                <w:szCs w:val="22"/>
              </w:rPr>
              <w:t xml:space="preserve">d, as </w:t>
            </w:r>
            <w:r w:rsidR="00CD3BE3">
              <w:rPr>
                <w:rFonts w:ascii="Arial" w:hAnsi="Arial" w:cs="Arial"/>
                <w:sz w:val="22"/>
                <w:szCs w:val="22"/>
              </w:rPr>
              <w:t xml:space="preserve">many other sectors will be able to make similarly well-articulated arguments for a lower level of Core Skill. </w:t>
            </w:r>
          </w:p>
          <w:p w14:paraId="5316B295" w14:textId="650F72BB" w:rsidR="003B2544" w:rsidRPr="00195B55" w:rsidRDefault="001F6BF6" w:rsidP="00195B55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highlighted that Core Skills should be a developmental framework </w:t>
            </w:r>
            <w:r w:rsidR="003B2544">
              <w:rPr>
                <w:rFonts w:ascii="Arial" w:hAnsi="Arial" w:cs="Arial"/>
                <w:sz w:val="22"/>
                <w:szCs w:val="22"/>
              </w:rPr>
              <w:t xml:space="preserve">and feel L3 is extremely low for a L7 framework. </w:t>
            </w:r>
            <w:r w:rsidR="00BA69E3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6129FB">
              <w:rPr>
                <w:rFonts w:ascii="Arial" w:hAnsi="Arial" w:cs="Arial"/>
                <w:sz w:val="22"/>
                <w:szCs w:val="22"/>
              </w:rPr>
              <w:t>felt</w:t>
            </w:r>
            <w:r w:rsidR="003B2544">
              <w:rPr>
                <w:rFonts w:ascii="Arial" w:hAnsi="Arial" w:cs="Arial"/>
                <w:sz w:val="22"/>
                <w:szCs w:val="22"/>
              </w:rPr>
              <w:t xml:space="preserve"> there </w:t>
            </w:r>
            <w:r w:rsidR="006129FB">
              <w:rPr>
                <w:rFonts w:ascii="Arial" w:hAnsi="Arial" w:cs="Arial"/>
                <w:sz w:val="22"/>
                <w:szCs w:val="22"/>
              </w:rPr>
              <w:t>should be</w:t>
            </w:r>
            <w:r w:rsidR="003B2544">
              <w:rPr>
                <w:rFonts w:ascii="Arial" w:hAnsi="Arial" w:cs="Arial"/>
                <w:sz w:val="22"/>
                <w:szCs w:val="22"/>
              </w:rPr>
              <w:t xml:space="preserve"> scope to improve Numeracy skills through a higher Core Skill.</w:t>
            </w:r>
            <w:r w:rsidR="00195B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2544" w:rsidRPr="00195B55">
              <w:rPr>
                <w:rFonts w:ascii="Arial" w:hAnsi="Arial" w:cs="Arial"/>
                <w:sz w:val="22"/>
                <w:szCs w:val="22"/>
              </w:rPr>
              <w:t xml:space="preserve">Helen </w:t>
            </w:r>
            <w:r w:rsidR="00195B55">
              <w:rPr>
                <w:rFonts w:ascii="Arial" w:hAnsi="Arial" w:cs="Arial"/>
                <w:sz w:val="22"/>
                <w:szCs w:val="22"/>
              </w:rPr>
              <w:t xml:space="preserve">clarified </w:t>
            </w:r>
            <w:r w:rsidR="003B2544" w:rsidRPr="00195B55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195B55">
              <w:rPr>
                <w:rFonts w:ascii="Arial" w:hAnsi="Arial" w:cs="Arial"/>
                <w:sz w:val="22"/>
                <w:szCs w:val="22"/>
              </w:rPr>
              <w:t>Numeracy is currently</w:t>
            </w:r>
            <w:r w:rsidR="003B2544" w:rsidRPr="00195B55">
              <w:rPr>
                <w:rFonts w:ascii="Arial" w:hAnsi="Arial" w:cs="Arial"/>
                <w:sz w:val="22"/>
                <w:szCs w:val="22"/>
              </w:rPr>
              <w:t xml:space="preserve"> delivered by Training Providers as a standalone and is often delivered as a separate maths class.</w:t>
            </w:r>
          </w:p>
          <w:p w14:paraId="4687D74C" w14:textId="4BF1EB27" w:rsidR="00996109" w:rsidRDefault="00996109" w:rsidP="00D2282B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clarified that if frameworks </w:t>
            </w:r>
            <w:r w:rsidR="00204A13">
              <w:rPr>
                <w:rFonts w:ascii="Arial" w:hAnsi="Arial" w:cs="Arial"/>
                <w:sz w:val="22"/>
                <w:szCs w:val="22"/>
              </w:rPr>
              <w:t>are to be lower than 2 levels below the level of the framework then developers need to provide substantive evidence to support this.</w:t>
            </w:r>
          </w:p>
          <w:p w14:paraId="43B18305" w14:textId="77777777" w:rsidR="004D4AA3" w:rsidRDefault="004D4AA3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2CDD6AA" w14:textId="77777777" w:rsidR="00CB56DE" w:rsidRDefault="00CB56DE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8B89D66" w14:textId="5DB633B2" w:rsidR="00CB56DE" w:rsidRDefault="0043581B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asked if </w:t>
            </w:r>
            <w:r w:rsidR="00E730AC">
              <w:rPr>
                <w:rFonts w:ascii="Arial" w:hAnsi="Arial" w:cs="Arial"/>
                <w:sz w:val="22"/>
                <w:szCs w:val="22"/>
              </w:rPr>
              <w:t>there any resources that could</w:t>
            </w:r>
            <w:r w:rsidR="00CB56DE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E730AC">
              <w:rPr>
                <w:rFonts w:ascii="Arial" w:hAnsi="Arial" w:cs="Arial"/>
                <w:sz w:val="22"/>
                <w:szCs w:val="22"/>
              </w:rPr>
              <w:t xml:space="preserve"> developed</w:t>
            </w:r>
            <w:r w:rsidR="00CB56DE">
              <w:rPr>
                <w:rFonts w:ascii="Arial" w:hAnsi="Arial" w:cs="Arial"/>
                <w:sz w:val="22"/>
                <w:szCs w:val="22"/>
              </w:rPr>
              <w:t xml:space="preserve"> at Numeracy SCQF Level 4 </w:t>
            </w:r>
            <w:r w:rsidR="009623E0">
              <w:rPr>
                <w:rFonts w:ascii="Arial" w:hAnsi="Arial" w:cs="Arial"/>
                <w:sz w:val="22"/>
                <w:szCs w:val="22"/>
              </w:rPr>
              <w:t xml:space="preserve">for an apprentice to complete in the workplace, which wouldn’t be a stretch for those in the role to complete. </w:t>
            </w:r>
            <w:r w:rsidR="00812F6E">
              <w:rPr>
                <w:rFonts w:ascii="Arial" w:hAnsi="Arial" w:cs="Arial"/>
                <w:sz w:val="22"/>
                <w:szCs w:val="22"/>
              </w:rPr>
              <w:t xml:space="preserve">Helen clarified that they have a series of </w:t>
            </w:r>
            <w:r w:rsidR="005F49BC">
              <w:rPr>
                <w:rFonts w:ascii="Arial" w:hAnsi="Arial" w:cs="Arial"/>
                <w:sz w:val="22"/>
                <w:szCs w:val="22"/>
              </w:rPr>
              <w:t>scenarios, however, these are not common to the role of a dental nurse.</w:t>
            </w:r>
          </w:p>
          <w:p w14:paraId="363CC3A3" w14:textId="77777777" w:rsidR="0074360B" w:rsidRDefault="0074360B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8EEA44F" w14:textId="48CDA689" w:rsidR="0043581B" w:rsidRDefault="0043581B" w:rsidP="004358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fe</w:t>
            </w:r>
            <w:r w:rsidR="00EB2125">
              <w:rPr>
                <w:rFonts w:ascii="Arial" w:hAnsi="Arial" w:cs="Arial"/>
                <w:sz w:val="22"/>
                <w:szCs w:val="22"/>
              </w:rPr>
              <w:t>lt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125">
              <w:rPr>
                <w:rFonts w:ascii="Arial" w:hAnsi="Arial" w:cs="Arial"/>
                <w:sz w:val="22"/>
                <w:szCs w:val="22"/>
              </w:rPr>
              <w:t>that it is</w:t>
            </w:r>
            <w:r>
              <w:rPr>
                <w:rFonts w:ascii="Arial" w:hAnsi="Arial" w:cs="Arial"/>
                <w:sz w:val="22"/>
                <w:szCs w:val="22"/>
              </w:rPr>
              <w:t xml:space="preserve"> time to review Core Skills and agree what we want apprentices to gain from undertaking these units. </w:t>
            </w:r>
            <w:r w:rsidR="00EB2125">
              <w:rPr>
                <w:rFonts w:ascii="Arial" w:hAnsi="Arial" w:cs="Arial"/>
                <w:sz w:val="22"/>
                <w:szCs w:val="22"/>
              </w:rPr>
              <w:t>There is an o</w:t>
            </w:r>
            <w:r>
              <w:rPr>
                <w:rFonts w:ascii="Arial" w:hAnsi="Arial" w:cs="Arial"/>
                <w:sz w:val="22"/>
                <w:szCs w:val="22"/>
              </w:rPr>
              <w:t>pportunity to feed this into the current review of the skills frameworks.</w:t>
            </w:r>
          </w:p>
          <w:p w14:paraId="3DFF5F0F" w14:textId="77777777" w:rsidR="0043581B" w:rsidRDefault="0043581B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CCA6809" w14:textId="08E6A3FA" w:rsidR="0074360B" w:rsidRDefault="0074360B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offline to discuss further</w:t>
            </w:r>
          </w:p>
          <w:p w14:paraId="07712456" w14:textId="233953D2" w:rsidR="00717CA2" w:rsidRPr="007564B2" w:rsidRDefault="00717CA2" w:rsidP="00717CA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64B2">
              <w:rPr>
                <w:rFonts w:ascii="Arial" w:hAnsi="Arial" w:cs="Arial"/>
                <w:color w:val="FF0000"/>
                <w:sz w:val="22"/>
                <w:szCs w:val="22"/>
              </w:rPr>
              <w:t>Members to discuss common approach to reviewing these submissions at AAG</w:t>
            </w:r>
          </w:p>
          <w:p w14:paraId="730E7646" w14:textId="0F65FAD9" w:rsidR="00717CA2" w:rsidRPr="007564B2" w:rsidRDefault="00717CA2" w:rsidP="00717CA2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64B2">
              <w:rPr>
                <w:rFonts w:ascii="Arial" w:hAnsi="Arial" w:cs="Arial"/>
                <w:color w:val="FF0000"/>
                <w:sz w:val="22"/>
                <w:szCs w:val="22"/>
              </w:rPr>
              <w:t xml:space="preserve">Dental Nursing colleagues to </w:t>
            </w:r>
            <w:r w:rsidR="00EB2125" w:rsidRPr="007564B2">
              <w:rPr>
                <w:rFonts w:ascii="Arial" w:hAnsi="Arial" w:cs="Arial"/>
                <w:color w:val="FF0000"/>
                <w:sz w:val="22"/>
                <w:szCs w:val="22"/>
              </w:rPr>
              <w:t>further investigate potential for a</w:t>
            </w:r>
            <w:r w:rsidR="00766BA7" w:rsidRPr="007564B2">
              <w:rPr>
                <w:rFonts w:ascii="Arial" w:hAnsi="Arial" w:cs="Arial"/>
                <w:color w:val="FF0000"/>
                <w:sz w:val="22"/>
                <w:szCs w:val="22"/>
              </w:rPr>
              <w:t xml:space="preserve"> L4 </w:t>
            </w:r>
            <w:r w:rsidR="00EB2125" w:rsidRPr="007564B2">
              <w:rPr>
                <w:rFonts w:ascii="Arial" w:hAnsi="Arial" w:cs="Arial"/>
                <w:color w:val="FF0000"/>
                <w:sz w:val="22"/>
                <w:szCs w:val="22"/>
              </w:rPr>
              <w:t xml:space="preserve">Numeracy </w:t>
            </w:r>
            <w:r w:rsidR="00766BA7" w:rsidRPr="007564B2">
              <w:rPr>
                <w:rFonts w:ascii="Arial" w:hAnsi="Arial" w:cs="Arial"/>
                <w:color w:val="FF0000"/>
                <w:sz w:val="22"/>
                <w:szCs w:val="22"/>
              </w:rPr>
              <w:t>profile</w:t>
            </w:r>
          </w:p>
          <w:p w14:paraId="651D813E" w14:textId="77777777" w:rsidR="00F149E8" w:rsidRDefault="00F149E8" w:rsidP="00F149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ACD7174" w14:textId="7D2E12A4" w:rsidR="00F149E8" w:rsidRDefault="00EB2125" w:rsidP="00F149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acknowledged</w:t>
            </w:r>
            <w:r w:rsidR="007564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49E8">
              <w:rPr>
                <w:rFonts w:ascii="Arial" w:hAnsi="Arial" w:cs="Arial"/>
                <w:sz w:val="22"/>
                <w:szCs w:val="22"/>
              </w:rPr>
              <w:t xml:space="preserve">that there are strict timelines </w:t>
            </w:r>
            <w:r w:rsidR="00DD69F5">
              <w:rPr>
                <w:rFonts w:ascii="Arial" w:hAnsi="Arial" w:cs="Arial"/>
                <w:sz w:val="22"/>
                <w:szCs w:val="22"/>
              </w:rPr>
              <w:t>for this due to regulatory changes to the framework</w:t>
            </w:r>
            <w:r w:rsidR="007564B2">
              <w:rPr>
                <w:rFonts w:ascii="Arial" w:hAnsi="Arial" w:cs="Arial"/>
                <w:sz w:val="22"/>
                <w:szCs w:val="22"/>
              </w:rPr>
              <w:t xml:space="preserve"> and agreed for this to be brought back in February.</w:t>
            </w:r>
          </w:p>
          <w:p w14:paraId="6949D241" w14:textId="22AA35AC" w:rsidR="00677C7F" w:rsidRPr="00A266B2" w:rsidRDefault="00677C7F" w:rsidP="007564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371CE9" w14:textId="2BA2EEA7" w:rsidR="00805800" w:rsidRP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613BC35C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4196503" w14:textId="5D4063CC" w:rsidR="005F0D16" w:rsidRPr="00A266B2" w:rsidRDefault="001A56E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F0D16" w:rsidRPr="00A266B2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7655" w:type="dxa"/>
            <w:shd w:val="clear" w:color="auto" w:fill="FFFFFF" w:themeFill="background1"/>
          </w:tcPr>
          <w:p w14:paraId="1D44F28B" w14:textId="3538D1CD" w:rsidR="005F0D16" w:rsidRPr="00F662AC" w:rsidRDefault="0040121B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21B">
              <w:rPr>
                <w:rFonts w:ascii="Arial" w:hAnsi="Arial" w:cs="Arial"/>
                <w:b/>
              </w:rPr>
              <w:t>Development Manager Update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791978C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2F9D497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CC2828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6AC2B09F" w14:textId="77777777" w:rsidR="0068626C" w:rsidRPr="00A174EC" w:rsidRDefault="00217241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74EC">
              <w:rPr>
                <w:rFonts w:ascii="Arial" w:hAnsi="Arial" w:cs="Arial"/>
                <w:sz w:val="22"/>
                <w:szCs w:val="22"/>
                <w:u w:val="single"/>
              </w:rPr>
              <w:t>Equine</w:t>
            </w:r>
          </w:p>
          <w:p w14:paraId="4C211E61" w14:textId="77777777" w:rsidR="0068626C" w:rsidRDefault="0068626C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EB8D320" w14:textId="0674466E" w:rsidR="00031C69" w:rsidRDefault="0068626C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Manager to</w:t>
            </w:r>
            <w:r w:rsidR="00217241">
              <w:rPr>
                <w:rFonts w:ascii="Arial" w:hAnsi="Arial" w:cs="Arial"/>
                <w:sz w:val="22"/>
                <w:szCs w:val="22"/>
              </w:rPr>
              <w:t xml:space="preserve"> update date of business case </w:t>
            </w:r>
            <w:r>
              <w:rPr>
                <w:rFonts w:ascii="Arial" w:hAnsi="Arial" w:cs="Arial"/>
                <w:sz w:val="22"/>
                <w:szCs w:val="22"/>
              </w:rPr>
              <w:t>re-</w:t>
            </w:r>
            <w:r w:rsidR="00217241">
              <w:rPr>
                <w:rFonts w:ascii="Arial" w:hAnsi="Arial" w:cs="Arial"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sz w:val="22"/>
                <w:szCs w:val="22"/>
              </w:rPr>
              <w:t>, as this hasn’t yet been received by the S&amp;F Panel.</w:t>
            </w:r>
          </w:p>
          <w:p w14:paraId="438DF473" w14:textId="77777777" w:rsidR="0021506D" w:rsidRDefault="0021506D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DDEF37C" w14:textId="0B33FFDF" w:rsidR="002B4E33" w:rsidRPr="00A174EC" w:rsidRDefault="00A174EC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74EC">
              <w:rPr>
                <w:rFonts w:ascii="Arial" w:hAnsi="Arial" w:cs="Arial"/>
                <w:sz w:val="22"/>
                <w:szCs w:val="22"/>
                <w:u w:val="single"/>
              </w:rPr>
              <w:t xml:space="preserve">Carpentry &amp; Joinery </w:t>
            </w:r>
          </w:p>
          <w:p w14:paraId="42E0B04A" w14:textId="77777777" w:rsidR="00A174EC" w:rsidRDefault="00A174EC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2129E8C" w14:textId="6727A9D1" w:rsidR="002B4E33" w:rsidRDefault="00A174EC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q</w:t>
            </w:r>
            <w:r w:rsidR="002B4E33">
              <w:rPr>
                <w:rFonts w:ascii="Arial" w:hAnsi="Arial" w:cs="Arial"/>
                <w:sz w:val="22"/>
                <w:szCs w:val="22"/>
              </w:rPr>
              <w:t>uerie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B4E33">
              <w:rPr>
                <w:rFonts w:ascii="Arial" w:hAnsi="Arial" w:cs="Arial"/>
                <w:sz w:val="22"/>
                <w:szCs w:val="22"/>
              </w:rPr>
              <w:t xml:space="preserve"> why C&amp;J is </w:t>
            </w:r>
            <w:r>
              <w:rPr>
                <w:rFonts w:ascii="Arial" w:hAnsi="Arial" w:cs="Arial"/>
                <w:sz w:val="22"/>
                <w:szCs w:val="22"/>
              </w:rPr>
              <w:t xml:space="preserve">flagged as </w:t>
            </w:r>
            <w:r w:rsidR="002B4E33">
              <w:rPr>
                <w:rFonts w:ascii="Arial" w:hAnsi="Arial" w:cs="Arial"/>
                <w:sz w:val="22"/>
                <w:szCs w:val="22"/>
              </w:rPr>
              <w:t xml:space="preserve">red – </w:t>
            </w:r>
            <w:r>
              <w:rPr>
                <w:rFonts w:ascii="Arial" w:hAnsi="Arial" w:cs="Arial"/>
                <w:sz w:val="22"/>
                <w:szCs w:val="22"/>
              </w:rPr>
              <w:t xml:space="preserve">TD confirmed </w:t>
            </w:r>
            <w:r w:rsidR="002B4E33">
              <w:rPr>
                <w:rFonts w:ascii="Arial" w:hAnsi="Arial" w:cs="Arial"/>
                <w:sz w:val="22"/>
                <w:szCs w:val="22"/>
              </w:rPr>
              <w:t xml:space="preserve">this is due to delays in updating the Industry </w:t>
            </w:r>
            <w:r w:rsidR="000936E1">
              <w:rPr>
                <w:rFonts w:ascii="Arial" w:hAnsi="Arial" w:cs="Arial"/>
                <w:sz w:val="22"/>
                <w:szCs w:val="22"/>
              </w:rPr>
              <w:t>Specific Training</w:t>
            </w:r>
          </w:p>
          <w:p w14:paraId="6AECEA92" w14:textId="77777777" w:rsidR="00B212D9" w:rsidRDefault="00B212D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66C392B" w14:textId="5D2AAAA4" w:rsidR="00B212D9" w:rsidRPr="00A174EC" w:rsidRDefault="00B212D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174EC">
              <w:rPr>
                <w:rFonts w:ascii="Arial" w:hAnsi="Arial" w:cs="Arial"/>
                <w:sz w:val="22"/>
                <w:szCs w:val="22"/>
                <w:u w:val="single"/>
              </w:rPr>
              <w:t xml:space="preserve">Trees &amp; Timber </w:t>
            </w:r>
          </w:p>
          <w:p w14:paraId="06DE5441" w14:textId="77777777" w:rsidR="00B212D9" w:rsidRDefault="00B212D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DDE8A83" w14:textId="26B277B0" w:rsidR="00B212D9" w:rsidRDefault="00A174EC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 updated that they are r</w:t>
            </w:r>
            <w:r w:rsidR="00B212D9">
              <w:rPr>
                <w:rFonts w:ascii="Arial" w:hAnsi="Arial" w:cs="Arial"/>
                <w:sz w:val="22"/>
                <w:szCs w:val="22"/>
              </w:rPr>
              <w:t>escheduling meeting which was meant to take place 16/01</w:t>
            </w:r>
            <w:r w:rsidR="0019439F">
              <w:rPr>
                <w:rFonts w:ascii="Arial" w:hAnsi="Arial" w:cs="Arial"/>
                <w:sz w:val="22"/>
                <w:szCs w:val="22"/>
              </w:rPr>
              <w:t>. Will be able to provide update next month</w:t>
            </w:r>
          </w:p>
          <w:p w14:paraId="11E87E76" w14:textId="77777777" w:rsidR="00AA5550" w:rsidRDefault="00AA5550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FECCD47" w14:textId="5207DA77" w:rsidR="0068626C" w:rsidRDefault="00A174EC" w:rsidP="006862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asked for c</w:t>
            </w:r>
            <w:r w:rsidR="0068626C">
              <w:rPr>
                <w:rFonts w:ascii="Arial" w:hAnsi="Arial" w:cs="Arial"/>
                <w:sz w:val="22"/>
                <w:szCs w:val="22"/>
              </w:rPr>
              <w:t xml:space="preserve">larification on what </w:t>
            </w:r>
            <w:r>
              <w:rPr>
                <w:rFonts w:ascii="Arial" w:hAnsi="Arial" w:cs="Arial"/>
                <w:sz w:val="22"/>
                <w:szCs w:val="22"/>
              </w:rPr>
              <w:t xml:space="preserve">is required for an apprenticeship to be classed as live, TD confirmed that this is when frameworks are available on FIPS and uploaded onto the SDS websites. </w:t>
            </w:r>
          </w:p>
          <w:p w14:paraId="2E82A6AB" w14:textId="77777777" w:rsidR="00217241" w:rsidRDefault="00217241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CFD9EE3" w14:textId="2ECF9ACC" w:rsidR="00217241" w:rsidRPr="00EE4164" w:rsidRDefault="00217241" w:rsidP="00E67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C5452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318E5930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155D50EB" w14:textId="11FC2B4C" w:rsidR="005F0D16" w:rsidRPr="00A266B2" w:rsidRDefault="0040121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655" w:type="dxa"/>
            <w:shd w:val="clear" w:color="auto" w:fill="FFFFFF" w:themeFill="background1"/>
          </w:tcPr>
          <w:p w14:paraId="37F5F35B" w14:textId="54E0BCB6" w:rsidR="005F0D16" w:rsidRPr="00CA2599" w:rsidRDefault="00A93F01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AOB </w:t>
            </w:r>
          </w:p>
        </w:tc>
        <w:tc>
          <w:tcPr>
            <w:tcW w:w="992" w:type="dxa"/>
            <w:shd w:val="clear" w:color="auto" w:fill="FFFFFF" w:themeFill="background1"/>
          </w:tcPr>
          <w:p w14:paraId="7185B56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18F22B2" w14:textId="77777777" w:rsidTr="000073BC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3D0055A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44A855FC" w14:textId="0ED8AD2F" w:rsidR="00EB614B" w:rsidRPr="00F4143D" w:rsidRDefault="00470639" w:rsidP="00F4143D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SAAB changes </w:t>
            </w:r>
          </w:p>
          <w:p w14:paraId="3467C9B8" w14:textId="0E9300DF" w:rsidR="00470639" w:rsidRPr="000C28EC" w:rsidRDefault="00EB614B" w:rsidP="00470639">
            <w:pPr>
              <w:pStyle w:val="ListParagraph"/>
              <w:numPr>
                <w:ilvl w:val="0"/>
                <w:numId w:val="18"/>
              </w:num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SAAB groups will be retired in the coming weeks, with work ongoing on a replacement </w:t>
            </w:r>
            <w:r w:rsidR="00DF052C" w:rsidRPr="000C28EC">
              <w:rPr>
                <w:rFonts w:ascii="Arial" w:hAnsi="Arial" w:cs="Arial"/>
                <w:color w:val="000000" w:themeColor="text1"/>
              </w:rPr>
              <w:t xml:space="preserve">approach </w:t>
            </w:r>
          </w:p>
          <w:p w14:paraId="73823194" w14:textId="0064D751" w:rsidR="00561CAD" w:rsidRPr="000C28EC" w:rsidRDefault="00561CAD" w:rsidP="00470639">
            <w:pPr>
              <w:pStyle w:val="ListParagraph"/>
              <w:numPr>
                <w:ilvl w:val="0"/>
                <w:numId w:val="18"/>
              </w:num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C28EC">
              <w:rPr>
                <w:rFonts w:ascii="Arial" w:hAnsi="Arial" w:cs="Arial"/>
                <w:color w:val="000000" w:themeColor="text1"/>
              </w:rPr>
              <w:t>Steve Petrie has stepped down as chair of Standards &amp; Frameworks Group – S&amp;F and AAG will be maintained.</w:t>
            </w:r>
            <w:r w:rsidR="00224662" w:rsidRPr="000C28EC">
              <w:rPr>
                <w:rFonts w:ascii="Arial" w:hAnsi="Arial" w:cs="Arial"/>
                <w:color w:val="000000" w:themeColor="text1"/>
              </w:rPr>
              <w:t xml:space="preserve"> Jacquline Hall from BAE systems will be joining as </w:t>
            </w:r>
            <w:r w:rsidR="000C71D3" w:rsidRPr="000C28EC">
              <w:rPr>
                <w:rFonts w:ascii="Arial" w:hAnsi="Arial" w:cs="Arial"/>
                <w:color w:val="000000" w:themeColor="text1"/>
              </w:rPr>
              <w:t>Standards &amp; Frameworks</w:t>
            </w:r>
            <w:r w:rsidR="00430770" w:rsidRPr="000C28EC">
              <w:rPr>
                <w:rFonts w:ascii="Arial" w:hAnsi="Arial" w:cs="Arial"/>
                <w:color w:val="000000" w:themeColor="text1"/>
              </w:rPr>
              <w:t xml:space="preserve"> Group</w:t>
            </w:r>
            <w:r w:rsidR="000C71D3" w:rsidRPr="000C28E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24662" w:rsidRPr="000C28EC">
              <w:rPr>
                <w:rFonts w:ascii="Arial" w:hAnsi="Arial" w:cs="Arial"/>
                <w:color w:val="000000" w:themeColor="text1"/>
              </w:rPr>
              <w:t xml:space="preserve">chair </w:t>
            </w:r>
          </w:p>
          <w:p w14:paraId="30C76EC5" w14:textId="77777777" w:rsidR="00F4143D" w:rsidRPr="000C28EC" w:rsidRDefault="00A22B9D" w:rsidP="00470639">
            <w:pPr>
              <w:pStyle w:val="ListParagraph"/>
              <w:numPr>
                <w:ilvl w:val="0"/>
                <w:numId w:val="18"/>
              </w:num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C28EC">
              <w:rPr>
                <w:rFonts w:ascii="Arial" w:hAnsi="Arial" w:cs="Arial"/>
                <w:color w:val="000000" w:themeColor="text1"/>
              </w:rPr>
              <w:t xml:space="preserve">RJ updated that she will be stepping down as AAG Chair </w:t>
            </w:r>
            <w:r w:rsidR="00224662" w:rsidRPr="000C28EC">
              <w:rPr>
                <w:rFonts w:ascii="Arial" w:hAnsi="Arial" w:cs="Arial"/>
                <w:color w:val="000000" w:themeColor="text1"/>
              </w:rPr>
              <w:t>and will be joining the Standards &amp; Frameworks group as Vice-chair.</w:t>
            </w:r>
          </w:p>
          <w:p w14:paraId="429AEFF5" w14:textId="77777777" w:rsidR="00224662" w:rsidRDefault="00224662" w:rsidP="00224662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14E117B" w14:textId="77777777" w:rsidR="00116243" w:rsidRDefault="00C40F11" w:rsidP="00224662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this group moving forward – Rohaise </w:t>
            </w:r>
            <w:r w:rsidR="00116243">
              <w:rPr>
                <w:rFonts w:ascii="Arial" w:hAnsi="Arial" w:cs="Arial"/>
              </w:rPr>
              <w:t>and Jennifer will be joining as Co-chairs of AAG. RJ will be supporting them through this transition.</w:t>
            </w:r>
          </w:p>
          <w:p w14:paraId="410C529A" w14:textId="77777777" w:rsidR="001F51DD" w:rsidRDefault="001F51DD" w:rsidP="00224662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AFB20B5" w14:textId="4B7830EC" w:rsidR="001F51DD" w:rsidRDefault="001F51DD" w:rsidP="00224662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wanted to note a massive thank you to Ruth </w:t>
            </w:r>
            <w:r w:rsidR="004F3368">
              <w:rPr>
                <w:rFonts w:ascii="Arial" w:hAnsi="Arial" w:cs="Arial"/>
              </w:rPr>
              <w:t xml:space="preserve">for her amazing contribution as AAG Chair – members </w:t>
            </w:r>
            <w:r w:rsidR="0068626C">
              <w:rPr>
                <w:rFonts w:ascii="Arial" w:hAnsi="Arial" w:cs="Arial"/>
              </w:rPr>
              <w:t>echoed this note</w:t>
            </w:r>
            <w:r w:rsidR="004F3368">
              <w:rPr>
                <w:rFonts w:ascii="Arial" w:hAnsi="Arial" w:cs="Arial"/>
              </w:rPr>
              <w:t xml:space="preserve"> and</w:t>
            </w:r>
            <w:r w:rsidR="006D2C77">
              <w:rPr>
                <w:rFonts w:ascii="Arial" w:hAnsi="Arial" w:cs="Arial"/>
              </w:rPr>
              <w:t xml:space="preserve"> praised all the hard work and effort given to the group throughout her time </w:t>
            </w:r>
            <w:r w:rsidR="0068626C">
              <w:rPr>
                <w:rFonts w:ascii="Arial" w:hAnsi="Arial" w:cs="Arial"/>
              </w:rPr>
              <w:t xml:space="preserve">as AAG chair </w:t>
            </w:r>
          </w:p>
          <w:p w14:paraId="490FE012" w14:textId="77777777" w:rsidR="006D2C77" w:rsidRDefault="006D2C77" w:rsidP="00224662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88EBE8A" w14:textId="5E2276A7" w:rsidR="006D2C77" w:rsidRPr="00224662" w:rsidRDefault="006D2C77" w:rsidP="00224662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also wanted to pass on their thanks to George as Vice Chair, his contribution and knowledge has been invaluable.</w:t>
            </w:r>
          </w:p>
        </w:tc>
        <w:tc>
          <w:tcPr>
            <w:tcW w:w="992" w:type="dxa"/>
            <w:shd w:val="clear" w:color="auto" w:fill="FFFFFF" w:themeFill="background1"/>
          </w:tcPr>
          <w:p w14:paraId="13703F93" w14:textId="77777777" w:rsid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4ECF566" w14:textId="5E765B09" w:rsidR="000920F8" w:rsidRP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7B32DBEE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5F0D16" w:rsidRPr="00A266B2" w14:paraId="5EFDD3E7" w14:textId="77777777" w:rsidTr="00456B94">
        <w:trPr>
          <w:trHeight w:val="324"/>
        </w:trPr>
        <w:tc>
          <w:tcPr>
            <w:tcW w:w="9640" w:type="dxa"/>
            <w:gridSpan w:val="2"/>
          </w:tcPr>
          <w:p w14:paraId="692C2E6C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5F0D16" w:rsidRPr="00A266B2" w14:paraId="63F0E757" w14:textId="77777777" w:rsidTr="00456B94">
        <w:trPr>
          <w:trHeight w:val="309"/>
        </w:trPr>
        <w:tc>
          <w:tcPr>
            <w:tcW w:w="8648" w:type="dxa"/>
          </w:tcPr>
          <w:p w14:paraId="4AB7299F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6FC49765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5F0D16" w:rsidRPr="00A266B2" w14:paraId="0BCE9FD3" w14:textId="77777777" w:rsidTr="00456B94">
        <w:trPr>
          <w:trHeight w:val="324"/>
        </w:trPr>
        <w:tc>
          <w:tcPr>
            <w:tcW w:w="8648" w:type="dxa"/>
          </w:tcPr>
          <w:p w14:paraId="2BE7D2F1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77943553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MG</w:t>
            </w:r>
          </w:p>
        </w:tc>
      </w:tr>
    </w:tbl>
    <w:p w14:paraId="6D11A5E8" w14:textId="77777777" w:rsidR="005F0D16" w:rsidRDefault="005F0D16" w:rsidP="005F0D16">
      <w:pPr>
        <w:rPr>
          <w:rFonts w:ascii="Arial" w:hAnsi="Arial" w:cs="Arial"/>
        </w:rPr>
      </w:pPr>
    </w:p>
    <w:p w14:paraId="5916AC1E" w14:textId="77777777" w:rsidR="005F0D16" w:rsidRPr="00A266B2" w:rsidRDefault="005F0D16" w:rsidP="005F0D16">
      <w:pPr>
        <w:rPr>
          <w:rFonts w:ascii="Arial" w:hAnsi="Arial" w:cs="Arial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="005F0D16" w:rsidRPr="00A266B2" w14:paraId="07CDA2A5" w14:textId="77777777" w:rsidTr="00456B94">
        <w:trPr>
          <w:trHeight w:val="321"/>
        </w:trPr>
        <w:tc>
          <w:tcPr>
            <w:tcW w:w="9640" w:type="dxa"/>
            <w:gridSpan w:val="2"/>
          </w:tcPr>
          <w:p w14:paraId="55D5D809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Apprenticeships Approved </w:t>
            </w:r>
            <w:r>
              <w:rPr>
                <w:rFonts w:ascii="Arial" w:hAnsi="Arial" w:cs="Arial"/>
                <w:b/>
                <w:bCs/>
                <w:sz w:val="22"/>
              </w:rPr>
              <w:t>for Delivery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 (Stage Gate 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5F0D16" w:rsidRPr="00A266B2" w14:paraId="0E440C3D" w14:textId="77777777" w:rsidTr="00AD472A">
        <w:trPr>
          <w:trHeight w:val="309"/>
        </w:trPr>
        <w:tc>
          <w:tcPr>
            <w:tcW w:w="6521" w:type="dxa"/>
          </w:tcPr>
          <w:p w14:paraId="76E55174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119" w:type="dxa"/>
          </w:tcPr>
          <w:p w14:paraId="5672D436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5F0D16" w:rsidRPr="00A266B2" w14:paraId="6B52AC86" w14:textId="77777777" w:rsidTr="00AD472A">
        <w:trPr>
          <w:trHeight w:val="324"/>
        </w:trPr>
        <w:tc>
          <w:tcPr>
            <w:tcW w:w="6521" w:type="dxa"/>
          </w:tcPr>
          <w:p w14:paraId="639633DC" w14:textId="5C3F4419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Services (Customer Service, Retail and Travel) at SCQF Level 5 </w:t>
            </w:r>
          </w:p>
        </w:tc>
        <w:tc>
          <w:tcPr>
            <w:tcW w:w="3119" w:type="dxa"/>
          </w:tcPr>
          <w:p w14:paraId="14506580" w14:textId="6E2D1B55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  <w:tr w:rsidR="00AD472A" w:rsidRPr="00A266B2" w14:paraId="6E4A18C8" w14:textId="77777777" w:rsidTr="00AD472A">
        <w:trPr>
          <w:trHeight w:val="324"/>
        </w:trPr>
        <w:tc>
          <w:tcPr>
            <w:tcW w:w="6521" w:type="dxa"/>
          </w:tcPr>
          <w:p w14:paraId="51DF32E8" w14:textId="228DEBE9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Services (Customer Service, Retail and Travel) at SCQF Level 6</w:t>
            </w:r>
          </w:p>
        </w:tc>
        <w:tc>
          <w:tcPr>
            <w:tcW w:w="3119" w:type="dxa"/>
          </w:tcPr>
          <w:p w14:paraId="7AB0DE39" w14:textId="1E3BBD81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  <w:tr w:rsidR="00781415" w:rsidRPr="00A266B2" w14:paraId="7305FF63" w14:textId="77777777" w:rsidTr="00AD472A">
        <w:trPr>
          <w:trHeight w:val="324"/>
        </w:trPr>
        <w:tc>
          <w:tcPr>
            <w:tcW w:w="6521" w:type="dxa"/>
          </w:tcPr>
          <w:p w14:paraId="13918C69" w14:textId="2CAF287D" w:rsidR="00781415" w:rsidRDefault="00781415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Hospi</w:t>
            </w:r>
            <w:r w:rsidR="006F110C">
              <w:rPr>
                <w:rFonts w:ascii="Arial" w:hAnsi="Arial" w:cs="Arial"/>
                <w:sz w:val="22"/>
              </w:rPr>
              <w:t>tality at SCQF Level 5</w:t>
            </w:r>
          </w:p>
        </w:tc>
        <w:tc>
          <w:tcPr>
            <w:tcW w:w="3119" w:type="dxa"/>
          </w:tcPr>
          <w:p w14:paraId="51C44E8B" w14:textId="70CE0E2A" w:rsidR="00781415" w:rsidRDefault="006F110C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  <w:tr w:rsidR="00781415" w:rsidRPr="00A266B2" w14:paraId="09E3D3E7" w14:textId="77777777" w:rsidTr="00AD472A">
        <w:trPr>
          <w:trHeight w:val="324"/>
        </w:trPr>
        <w:tc>
          <w:tcPr>
            <w:tcW w:w="6521" w:type="dxa"/>
          </w:tcPr>
          <w:p w14:paraId="48237173" w14:textId="3966D382" w:rsidR="00781415" w:rsidRDefault="006F110C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402EAA">
              <w:rPr>
                <w:rFonts w:ascii="Arial" w:hAnsi="Arial" w:cs="Arial"/>
                <w:sz w:val="22"/>
              </w:rPr>
              <w:t>rofessional Cookery at SCQF Level 5</w:t>
            </w:r>
          </w:p>
        </w:tc>
        <w:tc>
          <w:tcPr>
            <w:tcW w:w="3119" w:type="dxa"/>
          </w:tcPr>
          <w:p w14:paraId="12C4259E" w14:textId="43F830A6" w:rsidR="00781415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  <w:tr w:rsidR="006F110C" w:rsidRPr="00A266B2" w14:paraId="67F71B78" w14:textId="77777777" w:rsidTr="00AD472A">
        <w:trPr>
          <w:trHeight w:val="324"/>
        </w:trPr>
        <w:tc>
          <w:tcPr>
            <w:tcW w:w="6521" w:type="dxa"/>
          </w:tcPr>
          <w:p w14:paraId="2762BCB2" w14:textId="13F76B68" w:rsidR="006F110C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Professional Cookery at SCQF Level 6</w:t>
            </w:r>
          </w:p>
        </w:tc>
        <w:tc>
          <w:tcPr>
            <w:tcW w:w="3119" w:type="dxa"/>
          </w:tcPr>
          <w:p w14:paraId="11EDB9A1" w14:textId="236F2C65" w:rsidR="006F110C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</w:tbl>
    <w:p w14:paraId="5DB18664" w14:textId="77777777" w:rsidR="005F0D16" w:rsidRPr="00A266B2" w:rsidRDefault="005F0D16" w:rsidP="005F0D16">
      <w:pPr>
        <w:rPr>
          <w:rFonts w:ascii="Arial" w:hAnsi="Arial" w:cs="Arial"/>
        </w:rPr>
      </w:pPr>
    </w:p>
    <w:p w14:paraId="7E7D91F3" w14:textId="77777777" w:rsidR="005F0D16" w:rsidRPr="00D53B98" w:rsidRDefault="005F0D16" w:rsidP="005F0D16">
      <w:pPr>
        <w:rPr>
          <w:rFonts w:ascii="Arial" w:hAnsi="Arial" w:cs="Arial"/>
        </w:rPr>
      </w:pPr>
    </w:p>
    <w:p w14:paraId="1F9F38E8" w14:textId="77777777" w:rsidR="00DC1749" w:rsidRDefault="00DC1749"/>
    <w:sectPr w:rsidR="00DC1749" w:rsidSect="005F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DF6"/>
    <w:multiLevelType w:val="hybridMultilevel"/>
    <w:tmpl w:val="05AE1D4C"/>
    <w:lvl w:ilvl="0" w:tplc="59A224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C41"/>
    <w:multiLevelType w:val="hybridMultilevel"/>
    <w:tmpl w:val="B7888092"/>
    <w:lvl w:ilvl="0" w:tplc="8ACAED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2F83"/>
    <w:multiLevelType w:val="hybridMultilevel"/>
    <w:tmpl w:val="6F64DC46"/>
    <w:lvl w:ilvl="0" w:tplc="F328E05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C6F"/>
    <w:multiLevelType w:val="hybridMultilevel"/>
    <w:tmpl w:val="E9C6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001"/>
    <w:multiLevelType w:val="hybridMultilevel"/>
    <w:tmpl w:val="71F68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5022"/>
    <w:multiLevelType w:val="hybridMultilevel"/>
    <w:tmpl w:val="360CF30C"/>
    <w:lvl w:ilvl="0" w:tplc="68667C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636E"/>
    <w:multiLevelType w:val="hybridMultilevel"/>
    <w:tmpl w:val="36DE36AA"/>
    <w:lvl w:ilvl="0" w:tplc="816C9F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16E6A"/>
    <w:multiLevelType w:val="hybridMultilevel"/>
    <w:tmpl w:val="54F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174A"/>
    <w:multiLevelType w:val="hybridMultilevel"/>
    <w:tmpl w:val="42C2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85624"/>
    <w:multiLevelType w:val="hybridMultilevel"/>
    <w:tmpl w:val="EC5A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77892"/>
    <w:multiLevelType w:val="hybridMultilevel"/>
    <w:tmpl w:val="9B9C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612B6"/>
    <w:multiLevelType w:val="hybridMultilevel"/>
    <w:tmpl w:val="E4CA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496E"/>
    <w:multiLevelType w:val="hybridMultilevel"/>
    <w:tmpl w:val="0298F1EC"/>
    <w:lvl w:ilvl="0" w:tplc="C556E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0CC"/>
    <w:multiLevelType w:val="hybridMultilevel"/>
    <w:tmpl w:val="CC40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83BA7"/>
    <w:multiLevelType w:val="hybridMultilevel"/>
    <w:tmpl w:val="5866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FBB"/>
    <w:multiLevelType w:val="hybridMultilevel"/>
    <w:tmpl w:val="0A5E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5A1C"/>
    <w:multiLevelType w:val="hybridMultilevel"/>
    <w:tmpl w:val="18EC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25E4F"/>
    <w:multiLevelType w:val="hybridMultilevel"/>
    <w:tmpl w:val="7CD0C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0750"/>
    <w:multiLevelType w:val="hybridMultilevel"/>
    <w:tmpl w:val="9F52B7CE"/>
    <w:lvl w:ilvl="0" w:tplc="C3F66E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02866">
    <w:abstractNumId w:val="16"/>
  </w:num>
  <w:num w:numId="2" w16cid:durableId="2017414247">
    <w:abstractNumId w:val="18"/>
  </w:num>
  <w:num w:numId="3" w16cid:durableId="1352611457">
    <w:abstractNumId w:val="0"/>
  </w:num>
  <w:num w:numId="4" w16cid:durableId="971791033">
    <w:abstractNumId w:val="1"/>
  </w:num>
  <w:num w:numId="5" w16cid:durableId="1049189464">
    <w:abstractNumId w:val="14"/>
  </w:num>
  <w:num w:numId="6" w16cid:durableId="240792425">
    <w:abstractNumId w:val="2"/>
  </w:num>
  <w:num w:numId="7" w16cid:durableId="2097284764">
    <w:abstractNumId w:val="5"/>
  </w:num>
  <w:num w:numId="8" w16cid:durableId="321324457">
    <w:abstractNumId w:val="12"/>
  </w:num>
  <w:num w:numId="9" w16cid:durableId="1053890059">
    <w:abstractNumId w:val="15"/>
  </w:num>
  <w:num w:numId="10" w16cid:durableId="1017655694">
    <w:abstractNumId w:val="6"/>
  </w:num>
  <w:num w:numId="11" w16cid:durableId="1650866538">
    <w:abstractNumId w:val="11"/>
  </w:num>
  <w:num w:numId="12" w16cid:durableId="2065638637">
    <w:abstractNumId w:val="9"/>
  </w:num>
  <w:num w:numId="13" w16cid:durableId="705906641">
    <w:abstractNumId w:val="13"/>
  </w:num>
  <w:num w:numId="14" w16cid:durableId="1153256456">
    <w:abstractNumId w:val="3"/>
  </w:num>
  <w:num w:numId="15" w16cid:durableId="531498063">
    <w:abstractNumId w:val="17"/>
  </w:num>
  <w:num w:numId="16" w16cid:durableId="2127386367">
    <w:abstractNumId w:val="8"/>
  </w:num>
  <w:num w:numId="17" w16cid:durableId="912933869">
    <w:abstractNumId w:val="4"/>
  </w:num>
  <w:num w:numId="18" w16cid:durableId="143663227">
    <w:abstractNumId w:val="10"/>
  </w:num>
  <w:num w:numId="19" w16cid:durableId="700126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1"/>
    <w:rsid w:val="00000E06"/>
    <w:rsid w:val="000073BC"/>
    <w:rsid w:val="00021218"/>
    <w:rsid w:val="000236B7"/>
    <w:rsid w:val="00027E78"/>
    <w:rsid w:val="00030A36"/>
    <w:rsid w:val="00031C69"/>
    <w:rsid w:val="00034A67"/>
    <w:rsid w:val="000350D0"/>
    <w:rsid w:val="0004193F"/>
    <w:rsid w:val="00042380"/>
    <w:rsid w:val="00045DB7"/>
    <w:rsid w:val="00052CA3"/>
    <w:rsid w:val="000539C6"/>
    <w:rsid w:val="00064BB8"/>
    <w:rsid w:val="00064FFB"/>
    <w:rsid w:val="00067C16"/>
    <w:rsid w:val="0007176C"/>
    <w:rsid w:val="00072086"/>
    <w:rsid w:val="000721B1"/>
    <w:rsid w:val="000743DC"/>
    <w:rsid w:val="00083467"/>
    <w:rsid w:val="0009030B"/>
    <w:rsid w:val="00091C8C"/>
    <w:rsid w:val="000920F8"/>
    <w:rsid w:val="00092474"/>
    <w:rsid w:val="00093273"/>
    <w:rsid w:val="000936E1"/>
    <w:rsid w:val="000949B4"/>
    <w:rsid w:val="00096148"/>
    <w:rsid w:val="0009711C"/>
    <w:rsid w:val="000973E8"/>
    <w:rsid w:val="00097F44"/>
    <w:rsid w:val="000A035F"/>
    <w:rsid w:val="000A0927"/>
    <w:rsid w:val="000A4D17"/>
    <w:rsid w:val="000B609A"/>
    <w:rsid w:val="000B7009"/>
    <w:rsid w:val="000B7E76"/>
    <w:rsid w:val="000C0DA7"/>
    <w:rsid w:val="000C28EC"/>
    <w:rsid w:val="000C2AE7"/>
    <w:rsid w:val="000C4E46"/>
    <w:rsid w:val="000C71D3"/>
    <w:rsid w:val="000D148D"/>
    <w:rsid w:val="000D3559"/>
    <w:rsid w:val="000E5687"/>
    <w:rsid w:val="000E6CDD"/>
    <w:rsid w:val="000F074D"/>
    <w:rsid w:val="000F1180"/>
    <w:rsid w:val="0010166A"/>
    <w:rsid w:val="001038AA"/>
    <w:rsid w:val="00104F5A"/>
    <w:rsid w:val="001052BD"/>
    <w:rsid w:val="00106805"/>
    <w:rsid w:val="0011186A"/>
    <w:rsid w:val="00114261"/>
    <w:rsid w:val="00115245"/>
    <w:rsid w:val="00115585"/>
    <w:rsid w:val="00116243"/>
    <w:rsid w:val="001168A4"/>
    <w:rsid w:val="00120EA6"/>
    <w:rsid w:val="00121AB6"/>
    <w:rsid w:val="001228DC"/>
    <w:rsid w:val="00122C38"/>
    <w:rsid w:val="00124A49"/>
    <w:rsid w:val="001276D9"/>
    <w:rsid w:val="00127EB4"/>
    <w:rsid w:val="00130D58"/>
    <w:rsid w:val="00131D21"/>
    <w:rsid w:val="0013260B"/>
    <w:rsid w:val="0013414D"/>
    <w:rsid w:val="00135ED0"/>
    <w:rsid w:val="001406FE"/>
    <w:rsid w:val="001425FF"/>
    <w:rsid w:val="00145FBA"/>
    <w:rsid w:val="00146897"/>
    <w:rsid w:val="00146D0B"/>
    <w:rsid w:val="00150E01"/>
    <w:rsid w:val="00152E49"/>
    <w:rsid w:val="00160B06"/>
    <w:rsid w:val="00162318"/>
    <w:rsid w:val="00164513"/>
    <w:rsid w:val="00167F57"/>
    <w:rsid w:val="00173A67"/>
    <w:rsid w:val="00174666"/>
    <w:rsid w:val="0017480B"/>
    <w:rsid w:val="00175A6B"/>
    <w:rsid w:val="001760E3"/>
    <w:rsid w:val="00191579"/>
    <w:rsid w:val="00191CBC"/>
    <w:rsid w:val="0019439F"/>
    <w:rsid w:val="00195B55"/>
    <w:rsid w:val="001A24D0"/>
    <w:rsid w:val="001A395A"/>
    <w:rsid w:val="001A3ADF"/>
    <w:rsid w:val="001A4416"/>
    <w:rsid w:val="001A56E8"/>
    <w:rsid w:val="001A709B"/>
    <w:rsid w:val="001A7FCD"/>
    <w:rsid w:val="001B236C"/>
    <w:rsid w:val="001C296B"/>
    <w:rsid w:val="001C397B"/>
    <w:rsid w:val="001C7E14"/>
    <w:rsid w:val="001D351E"/>
    <w:rsid w:val="001D3A95"/>
    <w:rsid w:val="001D3C14"/>
    <w:rsid w:val="001D4C10"/>
    <w:rsid w:val="001D5D6B"/>
    <w:rsid w:val="001E13A6"/>
    <w:rsid w:val="001E37FE"/>
    <w:rsid w:val="001E421B"/>
    <w:rsid w:val="001E6D0D"/>
    <w:rsid w:val="001F3C83"/>
    <w:rsid w:val="001F51DD"/>
    <w:rsid w:val="001F6BF6"/>
    <w:rsid w:val="001F7737"/>
    <w:rsid w:val="001F7F14"/>
    <w:rsid w:val="00201760"/>
    <w:rsid w:val="00203F63"/>
    <w:rsid w:val="00204A13"/>
    <w:rsid w:val="00211D38"/>
    <w:rsid w:val="002143B5"/>
    <w:rsid w:val="00214653"/>
    <w:rsid w:val="0021506D"/>
    <w:rsid w:val="00217241"/>
    <w:rsid w:val="002237EA"/>
    <w:rsid w:val="00224572"/>
    <w:rsid w:val="00224662"/>
    <w:rsid w:val="002257AE"/>
    <w:rsid w:val="0022786D"/>
    <w:rsid w:val="002317AE"/>
    <w:rsid w:val="002327B7"/>
    <w:rsid w:val="0024000C"/>
    <w:rsid w:val="00241D39"/>
    <w:rsid w:val="00242569"/>
    <w:rsid w:val="00242ED9"/>
    <w:rsid w:val="00242F5A"/>
    <w:rsid w:val="00244197"/>
    <w:rsid w:val="00246DDC"/>
    <w:rsid w:val="00256B56"/>
    <w:rsid w:val="00257CFC"/>
    <w:rsid w:val="00261342"/>
    <w:rsid w:val="0026755F"/>
    <w:rsid w:val="00267DF5"/>
    <w:rsid w:val="00273177"/>
    <w:rsid w:val="002823F2"/>
    <w:rsid w:val="002841E6"/>
    <w:rsid w:val="00287B02"/>
    <w:rsid w:val="00290EDB"/>
    <w:rsid w:val="0029680E"/>
    <w:rsid w:val="002A60F2"/>
    <w:rsid w:val="002A7A01"/>
    <w:rsid w:val="002A7F35"/>
    <w:rsid w:val="002B4E33"/>
    <w:rsid w:val="002B7B28"/>
    <w:rsid w:val="002C022E"/>
    <w:rsid w:val="002C34B1"/>
    <w:rsid w:val="002C453E"/>
    <w:rsid w:val="002C74D7"/>
    <w:rsid w:val="002D0CC6"/>
    <w:rsid w:val="002D23D7"/>
    <w:rsid w:val="002D608B"/>
    <w:rsid w:val="002E4198"/>
    <w:rsid w:val="002E41C8"/>
    <w:rsid w:val="002E6EA1"/>
    <w:rsid w:val="002F381B"/>
    <w:rsid w:val="00300EFC"/>
    <w:rsid w:val="00302605"/>
    <w:rsid w:val="00304B62"/>
    <w:rsid w:val="00305C64"/>
    <w:rsid w:val="00307855"/>
    <w:rsid w:val="003112F1"/>
    <w:rsid w:val="00311998"/>
    <w:rsid w:val="00313AAD"/>
    <w:rsid w:val="0031528C"/>
    <w:rsid w:val="003170AD"/>
    <w:rsid w:val="003205D4"/>
    <w:rsid w:val="00321EC2"/>
    <w:rsid w:val="0032223A"/>
    <w:rsid w:val="00322D90"/>
    <w:rsid w:val="003240B5"/>
    <w:rsid w:val="00327BB1"/>
    <w:rsid w:val="00327C49"/>
    <w:rsid w:val="00331DAC"/>
    <w:rsid w:val="00337446"/>
    <w:rsid w:val="003420E1"/>
    <w:rsid w:val="003504C1"/>
    <w:rsid w:val="003621CD"/>
    <w:rsid w:val="003624B2"/>
    <w:rsid w:val="0036448C"/>
    <w:rsid w:val="00371ED6"/>
    <w:rsid w:val="00381CA5"/>
    <w:rsid w:val="003820B2"/>
    <w:rsid w:val="00382D94"/>
    <w:rsid w:val="00384F4D"/>
    <w:rsid w:val="0038576F"/>
    <w:rsid w:val="00385D2E"/>
    <w:rsid w:val="00390CB2"/>
    <w:rsid w:val="00391FFB"/>
    <w:rsid w:val="00394A2E"/>
    <w:rsid w:val="003A06A0"/>
    <w:rsid w:val="003A2C14"/>
    <w:rsid w:val="003A34AF"/>
    <w:rsid w:val="003B2544"/>
    <w:rsid w:val="003C0E0C"/>
    <w:rsid w:val="003C42C8"/>
    <w:rsid w:val="003C72B0"/>
    <w:rsid w:val="003D0D11"/>
    <w:rsid w:val="003D1F0D"/>
    <w:rsid w:val="003D2F40"/>
    <w:rsid w:val="003D35CA"/>
    <w:rsid w:val="003D540E"/>
    <w:rsid w:val="003D6C59"/>
    <w:rsid w:val="003D70EF"/>
    <w:rsid w:val="003D74FE"/>
    <w:rsid w:val="003E007B"/>
    <w:rsid w:val="003E0E8F"/>
    <w:rsid w:val="003E2C27"/>
    <w:rsid w:val="003E3D7B"/>
    <w:rsid w:val="003E44EC"/>
    <w:rsid w:val="003E64EC"/>
    <w:rsid w:val="003F0ED1"/>
    <w:rsid w:val="003F28C9"/>
    <w:rsid w:val="003F42EF"/>
    <w:rsid w:val="003F537E"/>
    <w:rsid w:val="003F7659"/>
    <w:rsid w:val="0040121B"/>
    <w:rsid w:val="00401224"/>
    <w:rsid w:val="00402EAA"/>
    <w:rsid w:val="00404DEA"/>
    <w:rsid w:val="00405B59"/>
    <w:rsid w:val="00407C7C"/>
    <w:rsid w:val="00407CA7"/>
    <w:rsid w:val="00412161"/>
    <w:rsid w:val="00412258"/>
    <w:rsid w:val="00412308"/>
    <w:rsid w:val="0041305A"/>
    <w:rsid w:val="0041363F"/>
    <w:rsid w:val="0041457F"/>
    <w:rsid w:val="0041480A"/>
    <w:rsid w:val="0041483B"/>
    <w:rsid w:val="00414891"/>
    <w:rsid w:val="00423FCE"/>
    <w:rsid w:val="004240D1"/>
    <w:rsid w:val="00427EE4"/>
    <w:rsid w:val="00430770"/>
    <w:rsid w:val="00433D92"/>
    <w:rsid w:val="00433FBE"/>
    <w:rsid w:val="00434516"/>
    <w:rsid w:val="00434632"/>
    <w:rsid w:val="0043581B"/>
    <w:rsid w:val="00455421"/>
    <w:rsid w:val="00455C96"/>
    <w:rsid w:val="00455E0B"/>
    <w:rsid w:val="00456D8C"/>
    <w:rsid w:val="004572DA"/>
    <w:rsid w:val="004606B5"/>
    <w:rsid w:val="00461082"/>
    <w:rsid w:val="00464F90"/>
    <w:rsid w:val="0047029F"/>
    <w:rsid w:val="00470639"/>
    <w:rsid w:val="004748F3"/>
    <w:rsid w:val="004767C3"/>
    <w:rsid w:val="00481B90"/>
    <w:rsid w:val="00491F3D"/>
    <w:rsid w:val="00494DC8"/>
    <w:rsid w:val="004A5A87"/>
    <w:rsid w:val="004A77C9"/>
    <w:rsid w:val="004B46FE"/>
    <w:rsid w:val="004B519B"/>
    <w:rsid w:val="004B6CD8"/>
    <w:rsid w:val="004C23FB"/>
    <w:rsid w:val="004C7C89"/>
    <w:rsid w:val="004D40DF"/>
    <w:rsid w:val="004D4AA3"/>
    <w:rsid w:val="004E083A"/>
    <w:rsid w:val="004E0ABD"/>
    <w:rsid w:val="004E18AD"/>
    <w:rsid w:val="004F1B46"/>
    <w:rsid w:val="004F206B"/>
    <w:rsid w:val="004F32C7"/>
    <w:rsid w:val="004F3368"/>
    <w:rsid w:val="004F5835"/>
    <w:rsid w:val="005009B4"/>
    <w:rsid w:val="00501A1C"/>
    <w:rsid w:val="005039F0"/>
    <w:rsid w:val="00505C0F"/>
    <w:rsid w:val="0050658A"/>
    <w:rsid w:val="00506F38"/>
    <w:rsid w:val="0051060A"/>
    <w:rsid w:val="00510841"/>
    <w:rsid w:val="005109F6"/>
    <w:rsid w:val="00511D80"/>
    <w:rsid w:val="00532F44"/>
    <w:rsid w:val="00534D80"/>
    <w:rsid w:val="00535D54"/>
    <w:rsid w:val="0053696B"/>
    <w:rsid w:val="00541777"/>
    <w:rsid w:val="00543AC0"/>
    <w:rsid w:val="00552C54"/>
    <w:rsid w:val="00552C84"/>
    <w:rsid w:val="0055572A"/>
    <w:rsid w:val="00555D50"/>
    <w:rsid w:val="005566B6"/>
    <w:rsid w:val="00557827"/>
    <w:rsid w:val="00561CAD"/>
    <w:rsid w:val="00563831"/>
    <w:rsid w:val="00563D71"/>
    <w:rsid w:val="00570A6A"/>
    <w:rsid w:val="005722E1"/>
    <w:rsid w:val="00572AEC"/>
    <w:rsid w:val="0057404B"/>
    <w:rsid w:val="0057438A"/>
    <w:rsid w:val="005845C6"/>
    <w:rsid w:val="00591507"/>
    <w:rsid w:val="00591C77"/>
    <w:rsid w:val="00593042"/>
    <w:rsid w:val="005933AA"/>
    <w:rsid w:val="0059344F"/>
    <w:rsid w:val="005A2A89"/>
    <w:rsid w:val="005A4B02"/>
    <w:rsid w:val="005A6726"/>
    <w:rsid w:val="005B016A"/>
    <w:rsid w:val="005B07DE"/>
    <w:rsid w:val="005B5B49"/>
    <w:rsid w:val="005B6AFA"/>
    <w:rsid w:val="005C327F"/>
    <w:rsid w:val="005C5424"/>
    <w:rsid w:val="005C65EB"/>
    <w:rsid w:val="005D034C"/>
    <w:rsid w:val="005D3C8F"/>
    <w:rsid w:val="005E6BAA"/>
    <w:rsid w:val="005F0601"/>
    <w:rsid w:val="005F0D16"/>
    <w:rsid w:val="005F49BC"/>
    <w:rsid w:val="005F5CE6"/>
    <w:rsid w:val="005F65D4"/>
    <w:rsid w:val="0060483B"/>
    <w:rsid w:val="006056D6"/>
    <w:rsid w:val="00605BE8"/>
    <w:rsid w:val="006071ED"/>
    <w:rsid w:val="006129FB"/>
    <w:rsid w:val="00617C2F"/>
    <w:rsid w:val="006213EA"/>
    <w:rsid w:val="00622308"/>
    <w:rsid w:val="006227C6"/>
    <w:rsid w:val="00624410"/>
    <w:rsid w:val="00627A56"/>
    <w:rsid w:val="006316DC"/>
    <w:rsid w:val="00632262"/>
    <w:rsid w:val="00634646"/>
    <w:rsid w:val="006354C1"/>
    <w:rsid w:val="00641F88"/>
    <w:rsid w:val="006469A6"/>
    <w:rsid w:val="00655720"/>
    <w:rsid w:val="00656F43"/>
    <w:rsid w:val="00660778"/>
    <w:rsid w:val="0066475D"/>
    <w:rsid w:val="00664A2E"/>
    <w:rsid w:val="00665E26"/>
    <w:rsid w:val="006662F1"/>
    <w:rsid w:val="00670588"/>
    <w:rsid w:val="00675316"/>
    <w:rsid w:val="006777DF"/>
    <w:rsid w:val="00677C7F"/>
    <w:rsid w:val="00681610"/>
    <w:rsid w:val="00681A0A"/>
    <w:rsid w:val="00681A43"/>
    <w:rsid w:val="00683C81"/>
    <w:rsid w:val="00684E62"/>
    <w:rsid w:val="00685113"/>
    <w:rsid w:val="0068626C"/>
    <w:rsid w:val="00687500"/>
    <w:rsid w:val="006970D8"/>
    <w:rsid w:val="006A23B1"/>
    <w:rsid w:val="006A75B4"/>
    <w:rsid w:val="006D2C77"/>
    <w:rsid w:val="006D3BCE"/>
    <w:rsid w:val="006D5E89"/>
    <w:rsid w:val="006E0B9C"/>
    <w:rsid w:val="006E224A"/>
    <w:rsid w:val="006E23D3"/>
    <w:rsid w:val="006E26BB"/>
    <w:rsid w:val="006E6E82"/>
    <w:rsid w:val="006F110C"/>
    <w:rsid w:val="006F138A"/>
    <w:rsid w:val="006F36FB"/>
    <w:rsid w:val="006F4930"/>
    <w:rsid w:val="00703510"/>
    <w:rsid w:val="00706533"/>
    <w:rsid w:val="00717CA2"/>
    <w:rsid w:val="00721081"/>
    <w:rsid w:val="00721F8E"/>
    <w:rsid w:val="00733B79"/>
    <w:rsid w:val="0073450D"/>
    <w:rsid w:val="00736FA6"/>
    <w:rsid w:val="00741469"/>
    <w:rsid w:val="0074360B"/>
    <w:rsid w:val="00745B1F"/>
    <w:rsid w:val="007564B2"/>
    <w:rsid w:val="00757FE6"/>
    <w:rsid w:val="0076065C"/>
    <w:rsid w:val="0076212A"/>
    <w:rsid w:val="007626BA"/>
    <w:rsid w:val="00762D70"/>
    <w:rsid w:val="00766BA7"/>
    <w:rsid w:val="0077208C"/>
    <w:rsid w:val="00772620"/>
    <w:rsid w:val="00781415"/>
    <w:rsid w:val="00783B33"/>
    <w:rsid w:val="00784567"/>
    <w:rsid w:val="00784888"/>
    <w:rsid w:val="00790253"/>
    <w:rsid w:val="00790BD2"/>
    <w:rsid w:val="007A14AD"/>
    <w:rsid w:val="007A1520"/>
    <w:rsid w:val="007A20E9"/>
    <w:rsid w:val="007A3723"/>
    <w:rsid w:val="007A4CD8"/>
    <w:rsid w:val="007A7ECD"/>
    <w:rsid w:val="007B02CE"/>
    <w:rsid w:val="007B0F28"/>
    <w:rsid w:val="007B1D79"/>
    <w:rsid w:val="007B3EF3"/>
    <w:rsid w:val="007B49D6"/>
    <w:rsid w:val="007B6AAE"/>
    <w:rsid w:val="007B786E"/>
    <w:rsid w:val="007C1621"/>
    <w:rsid w:val="007C5ACA"/>
    <w:rsid w:val="007C5B05"/>
    <w:rsid w:val="007D17FC"/>
    <w:rsid w:val="007D34A1"/>
    <w:rsid w:val="007D4315"/>
    <w:rsid w:val="007D5629"/>
    <w:rsid w:val="007E259D"/>
    <w:rsid w:val="007E4C17"/>
    <w:rsid w:val="007F13DA"/>
    <w:rsid w:val="007F1C89"/>
    <w:rsid w:val="007F584B"/>
    <w:rsid w:val="00803686"/>
    <w:rsid w:val="00805800"/>
    <w:rsid w:val="008104FF"/>
    <w:rsid w:val="00812F6E"/>
    <w:rsid w:val="008134E2"/>
    <w:rsid w:val="008176F3"/>
    <w:rsid w:val="00817D3C"/>
    <w:rsid w:val="00820FB0"/>
    <w:rsid w:val="00821FDB"/>
    <w:rsid w:val="008250BA"/>
    <w:rsid w:val="008277B6"/>
    <w:rsid w:val="00827C7D"/>
    <w:rsid w:val="00830071"/>
    <w:rsid w:val="00830478"/>
    <w:rsid w:val="008330EB"/>
    <w:rsid w:val="0083398D"/>
    <w:rsid w:val="0083412D"/>
    <w:rsid w:val="0083519F"/>
    <w:rsid w:val="00841AF2"/>
    <w:rsid w:val="00845BAE"/>
    <w:rsid w:val="0085203F"/>
    <w:rsid w:val="00852688"/>
    <w:rsid w:val="008537AD"/>
    <w:rsid w:val="00855294"/>
    <w:rsid w:val="00864778"/>
    <w:rsid w:val="008660B5"/>
    <w:rsid w:val="0087125B"/>
    <w:rsid w:val="008729E7"/>
    <w:rsid w:val="00875895"/>
    <w:rsid w:val="008768F5"/>
    <w:rsid w:val="00876C15"/>
    <w:rsid w:val="00877171"/>
    <w:rsid w:val="0088306A"/>
    <w:rsid w:val="00885C1A"/>
    <w:rsid w:val="00886BC6"/>
    <w:rsid w:val="00891756"/>
    <w:rsid w:val="00894C37"/>
    <w:rsid w:val="008A068F"/>
    <w:rsid w:val="008A2880"/>
    <w:rsid w:val="008A28D6"/>
    <w:rsid w:val="008A4999"/>
    <w:rsid w:val="008B0666"/>
    <w:rsid w:val="008B465D"/>
    <w:rsid w:val="008B5226"/>
    <w:rsid w:val="008B7093"/>
    <w:rsid w:val="008C0D96"/>
    <w:rsid w:val="008C15BE"/>
    <w:rsid w:val="008C282D"/>
    <w:rsid w:val="008C28B5"/>
    <w:rsid w:val="008C4F01"/>
    <w:rsid w:val="008D0D64"/>
    <w:rsid w:val="008D3342"/>
    <w:rsid w:val="008E0C21"/>
    <w:rsid w:val="008E3FDA"/>
    <w:rsid w:val="008E48DE"/>
    <w:rsid w:val="008E4C97"/>
    <w:rsid w:val="008E57BC"/>
    <w:rsid w:val="008F2B47"/>
    <w:rsid w:val="008F67B1"/>
    <w:rsid w:val="00901A64"/>
    <w:rsid w:val="00901CB3"/>
    <w:rsid w:val="00904E35"/>
    <w:rsid w:val="00905C28"/>
    <w:rsid w:val="009060AF"/>
    <w:rsid w:val="009065E2"/>
    <w:rsid w:val="00906C2B"/>
    <w:rsid w:val="00911526"/>
    <w:rsid w:val="00911F12"/>
    <w:rsid w:val="009147C5"/>
    <w:rsid w:val="00914DD8"/>
    <w:rsid w:val="00916677"/>
    <w:rsid w:val="00917EBC"/>
    <w:rsid w:val="009200CB"/>
    <w:rsid w:val="0092276E"/>
    <w:rsid w:val="00925069"/>
    <w:rsid w:val="00925AA7"/>
    <w:rsid w:val="0092746B"/>
    <w:rsid w:val="009302AB"/>
    <w:rsid w:val="009329D4"/>
    <w:rsid w:val="00940EEC"/>
    <w:rsid w:val="009412E3"/>
    <w:rsid w:val="00942797"/>
    <w:rsid w:val="0094398D"/>
    <w:rsid w:val="00945FCE"/>
    <w:rsid w:val="00946037"/>
    <w:rsid w:val="00946EE4"/>
    <w:rsid w:val="0095215B"/>
    <w:rsid w:val="0095460E"/>
    <w:rsid w:val="00956E1D"/>
    <w:rsid w:val="00960DF2"/>
    <w:rsid w:val="009623E0"/>
    <w:rsid w:val="00963CEB"/>
    <w:rsid w:val="00966760"/>
    <w:rsid w:val="00970104"/>
    <w:rsid w:val="0097088F"/>
    <w:rsid w:val="009717AE"/>
    <w:rsid w:val="00971E08"/>
    <w:rsid w:val="00976254"/>
    <w:rsid w:val="00981083"/>
    <w:rsid w:val="00983516"/>
    <w:rsid w:val="0098696E"/>
    <w:rsid w:val="0098770D"/>
    <w:rsid w:val="0099361F"/>
    <w:rsid w:val="00994CC9"/>
    <w:rsid w:val="00996109"/>
    <w:rsid w:val="009A003A"/>
    <w:rsid w:val="009A2CDC"/>
    <w:rsid w:val="009A2FC6"/>
    <w:rsid w:val="009A4AED"/>
    <w:rsid w:val="009B5590"/>
    <w:rsid w:val="009B6A79"/>
    <w:rsid w:val="009D0639"/>
    <w:rsid w:val="009D6D0E"/>
    <w:rsid w:val="009E0E40"/>
    <w:rsid w:val="009E1A69"/>
    <w:rsid w:val="009E3242"/>
    <w:rsid w:val="009E4FDF"/>
    <w:rsid w:val="009E6DE1"/>
    <w:rsid w:val="009F0F7F"/>
    <w:rsid w:val="009F100D"/>
    <w:rsid w:val="009F2674"/>
    <w:rsid w:val="009F3712"/>
    <w:rsid w:val="009F713D"/>
    <w:rsid w:val="00A036D0"/>
    <w:rsid w:val="00A04CB5"/>
    <w:rsid w:val="00A06631"/>
    <w:rsid w:val="00A13034"/>
    <w:rsid w:val="00A174EC"/>
    <w:rsid w:val="00A22B9D"/>
    <w:rsid w:val="00A25ECC"/>
    <w:rsid w:val="00A25FBD"/>
    <w:rsid w:val="00A315ED"/>
    <w:rsid w:val="00A33D27"/>
    <w:rsid w:val="00A35812"/>
    <w:rsid w:val="00A50D9A"/>
    <w:rsid w:val="00A571AD"/>
    <w:rsid w:val="00A618E3"/>
    <w:rsid w:val="00A63D5D"/>
    <w:rsid w:val="00A66B39"/>
    <w:rsid w:val="00A67C3B"/>
    <w:rsid w:val="00A70835"/>
    <w:rsid w:val="00A74C5E"/>
    <w:rsid w:val="00A74CED"/>
    <w:rsid w:val="00A76138"/>
    <w:rsid w:val="00A77204"/>
    <w:rsid w:val="00A80FBF"/>
    <w:rsid w:val="00A90493"/>
    <w:rsid w:val="00A93214"/>
    <w:rsid w:val="00A93F01"/>
    <w:rsid w:val="00A96ECA"/>
    <w:rsid w:val="00AA54E0"/>
    <w:rsid w:val="00AA5550"/>
    <w:rsid w:val="00AB1969"/>
    <w:rsid w:val="00AB20AF"/>
    <w:rsid w:val="00AB2F46"/>
    <w:rsid w:val="00AB368C"/>
    <w:rsid w:val="00AB3BF6"/>
    <w:rsid w:val="00AB3C6D"/>
    <w:rsid w:val="00AB6A3B"/>
    <w:rsid w:val="00AC4157"/>
    <w:rsid w:val="00AC542B"/>
    <w:rsid w:val="00AC5BEB"/>
    <w:rsid w:val="00AD4499"/>
    <w:rsid w:val="00AD472A"/>
    <w:rsid w:val="00AD6B7D"/>
    <w:rsid w:val="00AE27A5"/>
    <w:rsid w:val="00AE42B8"/>
    <w:rsid w:val="00AE7CAF"/>
    <w:rsid w:val="00AE7CEC"/>
    <w:rsid w:val="00AF24CD"/>
    <w:rsid w:val="00AF440D"/>
    <w:rsid w:val="00AF5571"/>
    <w:rsid w:val="00B029A1"/>
    <w:rsid w:val="00B07771"/>
    <w:rsid w:val="00B16D93"/>
    <w:rsid w:val="00B20605"/>
    <w:rsid w:val="00B212D9"/>
    <w:rsid w:val="00B22699"/>
    <w:rsid w:val="00B25E83"/>
    <w:rsid w:val="00B2627E"/>
    <w:rsid w:val="00B3394F"/>
    <w:rsid w:val="00B3699E"/>
    <w:rsid w:val="00B40CB6"/>
    <w:rsid w:val="00B50860"/>
    <w:rsid w:val="00B53B82"/>
    <w:rsid w:val="00B5473E"/>
    <w:rsid w:val="00B552ED"/>
    <w:rsid w:val="00B57C01"/>
    <w:rsid w:val="00B60031"/>
    <w:rsid w:val="00B62E4F"/>
    <w:rsid w:val="00B630A2"/>
    <w:rsid w:val="00B6480A"/>
    <w:rsid w:val="00B65FB2"/>
    <w:rsid w:val="00B66526"/>
    <w:rsid w:val="00B73738"/>
    <w:rsid w:val="00B7553B"/>
    <w:rsid w:val="00B76054"/>
    <w:rsid w:val="00B84038"/>
    <w:rsid w:val="00B85081"/>
    <w:rsid w:val="00B8552B"/>
    <w:rsid w:val="00B91A78"/>
    <w:rsid w:val="00B93968"/>
    <w:rsid w:val="00B957E1"/>
    <w:rsid w:val="00BA0744"/>
    <w:rsid w:val="00BA3F1B"/>
    <w:rsid w:val="00BA5CCE"/>
    <w:rsid w:val="00BA69E3"/>
    <w:rsid w:val="00BB14EE"/>
    <w:rsid w:val="00BB22C0"/>
    <w:rsid w:val="00BB3373"/>
    <w:rsid w:val="00BB483F"/>
    <w:rsid w:val="00BB562C"/>
    <w:rsid w:val="00BB6ABE"/>
    <w:rsid w:val="00BC3009"/>
    <w:rsid w:val="00BC5A4F"/>
    <w:rsid w:val="00BC70D4"/>
    <w:rsid w:val="00BD3DA6"/>
    <w:rsid w:val="00BD41B2"/>
    <w:rsid w:val="00BD4C94"/>
    <w:rsid w:val="00BE0A1A"/>
    <w:rsid w:val="00BE167E"/>
    <w:rsid w:val="00BE6494"/>
    <w:rsid w:val="00BF0492"/>
    <w:rsid w:val="00BF3649"/>
    <w:rsid w:val="00BF68C0"/>
    <w:rsid w:val="00C00761"/>
    <w:rsid w:val="00C01FB4"/>
    <w:rsid w:val="00C023A8"/>
    <w:rsid w:val="00C06D06"/>
    <w:rsid w:val="00C07B9C"/>
    <w:rsid w:val="00C154F0"/>
    <w:rsid w:val="00C16502"/>
    <w:rsid w:val="00C21BAB"/>
    <w:rsid w:val="00C233E6"/>
    <w:rsid w:val="00C31126"/>
    <w:rsid w:val="00C31486"/>
    <w:rsid w:val="00C40F11"/>
    <w:rsid w:val="00C45843"/>
    <w:rsid w:val="00C466E9"/>
    <w:rsid w:val="00C5018F"/>
    <w:rsid w:val="00C5066C"/>
    <w:rsid w:val="00C5521F"/>
    <w:rsid w:val="00C56431"/>
    <w:rsid w:val="00C56FCE"/>
    <w:rsid w:val="00C65AF0"/>
    <w:rsid w:val="00C77455"/>
    <w:rsid w:val="00C812FA"/>
    <w:rsid w:val="00C82B29"/>
    <w:rsid w:val="00C87EB9"/>
    <w:rsid w:val="00C911D3"/>
    <w:rsid w:val="00C91270"/>
    <w:rsid w:val="00C92DEB"/>
    <w:rsid w:val="00C93C87"/>
    <w:rsid w:val="00CA2599"/>
    <w:rsid w:val="00CA2E41"/>
    <w:rsid w:val="00CA3EA8"/>
    <w:rsid w:val="00CA4792"/>
    <w:rsid w:val="00CB180C"/>
    <w:rsid w:val="00CB19EE"/>
    <w:rsid w:val="00CB56DE"/>
    <w:rsid w:val="00CB6752"/>
    <w:rsid w:val="00CB6B8B"/>
    <w:rsid w:val="00CC1C60"/>
    <w:rsid w:val="00CC2DEC"/>
    <w:rsid w:val="00CC51D6"/>
    <w:rsid w:val="00CC554A"/>
    <w:rsid w:val="00CD2827"/>
    <w:rsid w:val="00CD3BE3"/>
    <w:rsid w:val="00CE0573"/>
    <w:rsid w:val="00CE5D53"/>
    <w:rsid w:val="00CE74C0"/>
    <w:rsid w:val="00CF0F7F"/>
    <w:rsid w:val="00CF21EE"/>
    <w:rsid w:val="00CF3AF4"/>
    <w:rsid w:val="00CF5F3A"/>
    <w:rsid w:val="00CF716B"/>
    <w:rsid w:val="00D00889"/>
    <w:rsid w:val="00D00EAC"/>
    <w:rsid w:val="00D01F08"/>
    <w:rsid w:val="00D02370"/>
    <w:rsid w:val="00D133E3"/>
    <w:rsid w:val="00D164E3"/>
    <w:rsid w:val="00D20001"/>
    <w:rsid w:val="00D203DD"/>
    <w:rsid w:val="00D2193D"/>
    <w:rsid w:val="00D2275A"/>
    <w:rsid w:val="00D2282B"/>
    <w:rsid w:val="00D24C2D"/>
    <w:rsid w:val="00D25C60"/>
    <w:rsid w:val="00D27632"/>
    <w:rsid w:val="00D27C10"/>
    <w:rsid w:val="00D32FE5"/>
    <w:rsid w:val="00D40F5C"/>
    <w:rsid w:val="00D4362B"/>
    <w:rsid w:val="00D46789"/>
    <w:rsid w:val="00D5094D"/>
    <w:rsid w:val="00D5142E"/>
    <w:rsid w:val="00D52F80"/>
    <w:rsid w:val="00D542E0"/>
    <w:rsid w:val="00D558E5"/>
    <w:rsid w:val="00D61243"/>
    <w:rsid w:val="00D62E39"/>
    <w:rsid w:val="00D65324"/>
    <w:rsid w:val="00D656C8"/>
    <w:rsid w:val="00D73B18"/>
    <w:rsid w:val="00D74409"/>
    <w:rsid w:val="00D82B91"/>
    <w:rsid w:val="00D841D2"/>
    <w:rsid w:val="00D86911"/>
    <w:rsid w:val="00D87EDF"/>
    <w:rsid w:val="00D941C8"/>
    <w:rsid w:val="00D943F5"/>
    <w:rsid w:val="00D97377"/>
    <w:rsid w:val="00DA085D"/>
    <w:rsid w:val="00DA0FF3"/>
    <w:rsid w:val="00DA151C"/>
    <w:rsid w:val="00DA2D1E"/>
    <w:rsid w:val="00DA33D6"/>
    <w:rsid w:val="00DA760C"/>
    <w:rsid w:val="00DB2EDB"/>
    <w:rsid w:val="00DB3AD9"/>
    <w:rsid w:val="00DC1749"/>
    <w:rsid w:val="00DC468E"/>
    <w:rsid w:val="00DC6578"/>
    <w:rsid w:val="00DC6E34"/>
    <w:rsid w:val="00DC7582"/>
    <w:rsid w:val="00DC7B71"/>
    <w:rsid w:val="00DD167C"/>
    <w:rsid w:val="00DD41E6"/>
    <w:rsid w:val="00DD4972"/>
    <w:rsid w:val="00DD69F5"/>
    <w:rsid w:val="00DD77F9"/>
    <w:rsid w:val="00DE0927"/>
    <w:rsid w:val="00DE18CC"/>
    <w:rsid w:val="00DE3466"/>
    <w:rsid w:val="00DE4CAE"/>
    <w:rsid w:val="00DE5138"/>
    <w:rsid w:val="00DE74DB"/>
    <w:rsid w:val="00DF052C"/>
    <w:rsid w:val="00DF1E8F"/>
    <w:rsid w:val="00DF2529"/>
    <w:rsid w:val="00DF3812"/>
    <w:rsid w:val="00DF5868"/>
    <w:rsid w:val="00DF5C9A"/>
    <w:rsid w:val="00DF5E18"/>
    <w:rsid w:val="00E07FD4"/>
    <w:rsid w:val="00E17B0C"/>
    <w:rsid w:val="00E17B10"/>
    <w:rsid w:val="00E20797"/>
    <w:rsid w:val="00E208C0"/>
    <w:rsid w:val="00E25913"/>
    <w:rsid w:val="00E30044"/>
    <w:rsid w:val="00E31493"/>
    <w:rsid w:val="00E31E83"/>
    <w:rsid w:val="00E33380"/>
    <w:rsid w:val="00E44DAE"/>
    <w:rsid w:val="00E4521C"/>
    <w:rsid w:val="00E46D20"/>
    <w:rsid w:val="00E51AED"/>
    <w:rsid w:val="00E53263"/>
    <w:rsid w:val="00E627CF"/>
    <w:rsid w:val="00E627D4"/>
    <w:rsid w:val="00E62DAA"/>
    <w:rsid w:val="00E67104"/>
    <w:rsid w:val="00E67B92"/>
    <w:rsid w:val="00E70181"/>
    <w:rsid w:val="00E704EB"/>
    <w:rsid w:val="00E730AC"/>
    <w:rsid w:val="00E76204"/>
    <w:rsid w:val="00E87ED4"/>
    <w:rsid w:val="00E91928"/>
    <w:rsid w:val="00E928E2"/>
    <w:rsid w:val="00E93164"/>
    <w:rsid w:val="00E95C18"/>
    <w:rsid w:val="00EA4D81"/>
    <w:rsid w:val="00EB2125"/>
    <w:rsid w:val="00EB2FBF"/>
    <w:rsid w:val="00EB4D09"/>
    <w:rsid w:val="00EB5BA8"/>
    <w:rsid w:val="00EB614B"/>
    <w:rsid w:val="00EB6A52"/>
    <w:rsid w:val="00EB6FCA"/>
    <w:rsid w:val="00EB7C31"/>
    <w:rsid w:val="00EB7C93"/>
    <w:rsid w:val="00EC1B3A"/>
    <w:rsid w:val="00EC4B23"/>
    <w:rsid w:val="00ED2C84"/>
    <w:rsid w:val="00ED3539"/>
    <w:rsid w:val="00ED4FEB"/>
    <w:rsid w:val="00EE18AE"/>
    <w:rsid w:val="00EE64D8"/>
    <w:rsid w:val="00EF13A8"/>
    <w:rsid w:val="00EF4EA8"/>
    <w:rsid w:val="00EF56EA"/>
    <w:rsid w:val="00F0281E"/>
    <w:rsid w:val="00F04079"/>
    <w:rsid w:val="00F061CB"/>
    <w:rsid w:val="00F125C4"/>
    <w:rsid w:val="00F12D21"/>
    <w:rsid w:val="00F13758"/>
    <w:rsid w:val="00F13C35"/>
    <w:rsid w:val="00F13CE4"/>
    <w:rsid w:val="00F149E8"/>
    <w:rsid w:val="00F202FE"/>
    <w:rsid w:val="00F20CA4"/>
    <w:rsid w:val="00F221A0"/>
    <w:rsid w:val="00F23235"/>
    <w:rsid w:val="00F24230"/>
    <w:rsid w:val="00F26826"/>
    <w:rsid w:val="00F26D2E"/>
    <w:rsid w:val="00F30D9B"/>
    <w:rsid w:val="00F30F3B"/>
    <w:rsid w:val="00F31F35"/>
    <w:rsid w:val="00F3264E"/>
    <w:rsid w:val="00F4143D"/>
    <w:rsid w:val="00F415DA"/>
    <w:rsid w:val="00F41E10"/>
    <w:rsid w:val="00F442F7"/>
    <w:rsid w:val="00F44F82"/>
    <w:rsid w:val="00F52A52"/>
    <w:rsid w:val="00F55013"/>
    <w:rsid w:val="00F55CCF"/>
    <w:rsid w:val="00F65A3D"/>
    <w:rsid w:val="00F7304A"/>
    <w:rsid w:val="00F745E4"/>
    <w:rsid w:val="00F7534F"/>
    <w:rsid w:val="00F81650"/>
    <w:rsid w:val="00F84BD2"/>
    <w:rsid w:val="00F84DE0"/>
    <w:rsid w:val="00F850E5"/>
    <w:rsid w:val="00F851EF"/>
    <w:rsid w:val="00F8594E"/>
    <w:rsid w:val="00F85FBC"/>
    <w:rsid w:val="00FA03BC"/>
    <w:rsid w:val="00FA0A35"/>
    <w:rsid w:val="00FA17BD"/>
    <w:rsid w:val="00FA35ED"/>
    <w:rsid w:val="00FA3E72"/>
    <w:rsid w:val="00FA3F4C"/>
    <w:rsid w:val="00FA4BA3"/>
    <w:rsid w:val="00FA4BDB"/>
    <w:rsid w:val="00FB4EB7"/>
    <w:rsid w:val="00FC1477"/>
    <w:rsid w:val="00FC1E1F"/>
    <w:rsid w:val="00FC4FC6"/>
    <w:rsid w:val="00FC5912"/>
    <w:rsid w:val="00FD07AB"/>
    <w:rsid w:val="00FD5169"/>
    <w:rsid w:val="00FD555D"/>
    <w:rsid w:val="00FE084F"/>
    <w:rsid w:val="00FE370E"/>
    <w:rsid w:val="00FE69C8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AD7"/>
  <w15:chartTrackingRefBased/>
  <w15:docId w15:val="{D616D30F-C6D6-4115-B977-A0E7988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3F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3F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F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5"/>
    <w:rsid w:val="003F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ED1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OBC Bullet,Colorful List - Accent 11,Normal numbered,L"/>
    <w:basedOn w:val="Normal"/>
    <w:link w:val="ListParagraphChar"/>
    <w:uiPriority w:val="34"/>
    <w:qFormat/>
    <w:rsid w:val="003F0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ED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8"/>
    <w:qFormat/>
    <w:rsid w:val="005F0D16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5F0D16"/>
    <w:rPr>
      <w:spacing w:val="-4"/>
      <w:kern w:val="0"/>
      <w:sz w:val="24"/>
      <w14:ligatures w14:val="none"/>
    </w:rPr>
  </w:style>
  <w:style w:type="paragraph" w:customStyle="1" w:styleId="Introduction">
    <w:name w:val="Introduction"/>
    <w:basedOn w:val="BodyText"/>
    <w:next w:val="BodyText"/>
    <w:uiPriority w:val="7"/>
    <w:qFormat/>
    <w:rsid w:val="005F0D16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5F0D1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table" w:styleId="TableGrid">
    <w:name w:val="Table Grid"/>
    <w:basedOn w:val="TableNormal"/>
    <w:uiPriority w:val="59"/>
    <w:rsid w:val="005F0D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A068F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basedOn w:val="DefaultParagraphFont"/>
    <w:link w:val="ListParagraph"/>
    <w:uiPriority w:val="34"/>
    <w:qFormat/>
    <w:locked/>
    <w:rsid w:val="0007208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D0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6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63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8055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2</cp:revision>
  <dcterms:created xsi:type="dcterms:W3CDTF">2025-01-30T15:46:00Z</dcterms:created>
  <dcterms:modified xsi:type="dcterms:W3CDTF">2025-01-30T15:46:00Z</dcterms:modified>
</cp:coreProperties>
</file>